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lang w:val="en-US" w:eastAsia="zh-CN"/>
        </w:rPr>
        <w:t>0403202200106009号业务批量地材、砂浆、辅材等供应采购项目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二 </w:t>
      </w:r>
      <w:r>
        <w:rPr>
          <w:rFonts w:hint="eastAsia" w:ascii="宋体" w:hAnsi="宋体" w:cs="宋体"/>
          <w:sz w:val="32"/>
          <w:szCs w:val="32"/>
        </w:rPr>
        <w:t>年</w:t>
      </w:r>
      <w:r>
        <w:rPr>
          <w:rFonts w:hint="eastAsia" w:ascii="宋体" w:hAnsi="宋体" w:cs="宋体"/>
          <w:sz w:val="32"/>
          <w:szCs w:val="32"/>
          <w:lang w:val="en-US" w:eastAsia="zh-CN"/>
        </w:rPr>
        <w:t>七</w:t>
      </w:r>
      <w:r>
        <w:rPr>
          <w:rFonts w:hint="eastAsia" w:ascii="宋体" w:hAnsi="宋体" w:cs="宋体"/>
          <w:sz w:val="32"/>
          <w:szCs w:val="32"/>
        </w:rPr>
        <w:t>月</w:t>
      </w:r>
    </w:p>
    <w:p>
      <w:pPr>
        <w:pStyle w:val="3"/>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邱天</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13607983676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lang w:val="en-US" w:eastAsia="zh-CN"/>
              </w:rPr>
              <w:t>0403202200106009号业务批量地材、砂浆、辅材等供应采购项目</w:t>
            </w:r>
          </w:p>
          <w:p>
            <w:pP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以清单中材料上限单价为准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询比议价（共选择三家单位同时供应）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请于2022年</w:t>
            </w:r>
            <w:r>
              <w:rPr>
                <w:rFonts w:hint="eastAsia" w:ascii="宋体" w:hAnsi="宋体" w:cs="宋体"/>
                <w:b w:val="0"/>
                <w:bCs w:val="0"/>
                <w:kern w:val="2"/>
                <w:sz w:val="21"/>
                <w:szCs w:val="24"/>
                <w:lang w:val="en-US" w:eastAsia="zh-CN" w:bidi="ar-SA"/>
              </w:rPr>
              <w:t>7</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14</w:t>
            </w:r>
            <w:r>
              <w:rPr>
                <w:rFonts w:hint="eastAsia" w:ascii="宋体" w:hAnsi="宋体" w:eastAsia="宋体" w:cs="宋体"/>
                <w:b w:val="0"/>
                <w:bCs w:val="0"/>
                <w:kern w:val="2"/>
                <w:sz w:val="21"/>
                <w:szCs w:val="24"/>
                <w:lang w:val="en-US" w:eastAsia="zh-CN" w:bidi="ar-SA"/>
              </w:rPr>
              <w:t>日至2022年</w:t>
            </w:r>
            <w:r>
              <w:rPr>
                <w:rFonts w:hint="eastAsia" w:ascii="宋体" w:hAnsi="宋体" w:cs="宋体"/>
                <w:b w:val="0"/>
                <w:bCs w:val="0"/>
                <w:kern w:val="2"/>
                <w:sz w:val="21"/>
                <w:szCs w:val="24"/>
                <w:lang w:val="en-US" w:eastAsia="zh-CN" w:bidi="ar-SA"/>
              </w:rPr>
              <w:t>7</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18</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4"/>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4"/>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2</w:t>
            </w:r>
            <w:r>
              <w:rPr>
                <w:rFonts w:hint="eastAsia" w:ascii="宋体" w:hAnsi="宋体" w:cs="宋体"/>
                <w:color w:val="000000"/>
                <w:kern w:val="0"/>
                <w:sz w:val="24"/>
              </w:rPr>
              <w:t>年</w:t>
            </w:r>
            <w:r>
              <w:rPr>
                <w:rFonts w:hint="eastAsia" w:ascii="宋体" w:hAnsi="宋体" w:cs="宋体"/>
                <w:color w:val="000000"/>
                <w:kern w:val="0"/>
                <w:sz w:val="24"/>
                <w:lang w:val="en-US" w:eastAsia="zh-CN"/>
              </w:rPr>
              <w:t xml:space="preserve">7 </w:t>
            </w:r>
            <w:r>
              <w:rPr>
                <w:rFonts w:hint="eastAsia" w:ascii="宋体" w:hAnsi="宋体" w:cs="宋体"/>
                <w:color w:val="000000"/>
                <w:kern w:val="0"/>
                <w:sz w:val="24"/>
              </w:rPr>
              <w:t>月</w:t>
            </w:r>
            <w:r>
              <w:rPr>
                <w:rFonts w:hint="eastAsia" w:ascii="宋体" w:hAnsi="宋体" w:cs="宋体"/>
                <w:color w:val="000000"/>
                <w:kern w:val="0"/>
                <w:sz w:val="24"/>
                <w:lang w:val="en-US" w:eastAsia="zh-CN"/>
              </w:rPr>
              <w:t>22</w:t>
            </w:r>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15</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rFonts w:hint="default" w:eastAsia="宋体"/>
                <w:highlight w:val="yellow"/>
                <w:lang w:val="en-US" w:eastAsia="zh-CN"/>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报价文件一正一副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报告所推荐的排序人（共推荐</w:t>
            </w:r>
            <w:r>
              <w:rPr>
                <w:rFonts w:hint="eastAsia" w:ascii="宋体" w:hAnsi="宋体" w:cs="宋体"/>
                <w:color w:val="000000"/>
                <w:kern w:val="0"/>
                <w:sz w:val="24"/>
                <w:lang w:val="en-US" w:eastAsia="zh-CN"/>
              </w:rPr>
              <w:t>三</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4"/>
      </w:pPr>
    </w:p>
    <w:p/>
    <w:p>
      <w:pPr>
        <w:pStyle w:val="4"/>
      </w:pPr>
    </w:p>
    <w:p/>
    <w:p>
      <w:pPr>
        <w:pStyle w:val="4"/>
      </w:pPr>
    </w:p>
    <w:p/>
    <w:p>
      <w:pPr>
        <w:pStyle w:val="4"/>
      </w:pPr>
    </w:p>
    <w:p/>
    <w:p>
      <w:pPr>
        <w:pStyle w:val="4"/>
      </w:pPr>
    </w:p>
    <w:p>
      <w:pPr>
        <w:pStyle w:val="3"/>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3"/>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p>
    <w:tbl>
      <w:tblPr>
        <w:tblStyle w:val="10"/>
        <w:tblpPr w:leftFromText="180" w:rightFromText="180" w:vertAnchor="text" w:horzAnchor="page" w:tblpX="1642" w:tblpY="462"/>
        <w:tblOverlap w:val="never"/>
        <w:tblW w:w="8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984"/>
        <w:gridCol w:w="717"/>
        <w:gridCol w:w="850"/>
        <w:gridCol w:w="1134"/>
        <w:gridCol w:w="741"/>
        <w:gridCol w:w="1553"/>
        <w:gridCol w:w="1142"/>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ascii="宋体" w:hAnsi="宋体" w:eastAsia="宋体" w:cs="宋体"/>
                <w:color w:val="auto"/>
                <w:highlight w:val="none"/>
              </w:rPr>
            </w:pPr>
          </w:p>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材料</w:t>
            </w:r>
          </w:p>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名称</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品牌</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规格</w:t>
            </w:r>
          </w:p>
        </w:tc>
        <w:tc>
          <w:tcPr>
            <w:tcW w:w="1134"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数量</w:t>
            </w:r>
          </w:p>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（暂定）</w:t>
            </w:r>
          </w:p>
        </w:tc>
        <w:tc>
          <w:tcPr>
            <w:tcW w:w="741"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单位</w:t>
            </w:r>
          </w:p>
        </w:tc>
        <w:tc>
          <w:tcPr>
            <w:tcW w:w="1553"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材料单价</w:t>
            </w:r>
          </w:p>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（不含税）（元）</w:t>
            </w:r>
          </w:p>
        </w:tc>
        <w:tc>
          <w:tcPr>
            <w:tcW w:w="1142" w:type="dxa"/>
            <w:tcBorders>
              <w:top w:val="single" w:color="000000" w:sz="4" w:space="0"/>
              <w:left w:val="single" w:color="000000" w:sz="4" w:space="0"/>
              <w:bottom w:val="single" w:color="auto"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ascii="宋体" w:hAnsi="宋体" w:eastAsia="宋体" w:cs="宋体"/>
                <w:color w:val="auto"/>
                <w:highlight w:val="none"/>
              </w:rPr>
              <w:t>税率</w:t>
            </w:r>
          </w:p>
          <w:p>
            <w:pPr>
              <w:pStyle w:val="14"/>
              <w:adjustRightInd/>
              <w:snapToGrid w:val="0"/>
              <w:spacing w:line="480" w:lineRule="exact"/>
              <w:contextualSpacing/>
              <w:jc w:val="center"/>
              <w:rPr>
                <w:rFonts w:hint="eastAsia" w:ascii="宋体" w:hAnsi="宋体" w:eastAsia="宋体" w:cs="宋体"/>
                <w:color w:val="auto"/>
                <w:highlight w:val="none"/>
              </w:rPr>
            </w:pPr>
          </w:p>
        </w:tc>
        <w:tc>
          <w:tcPr>
            <w:tcW w:w="1062" w:type="dxa"/>
            <w:tcBorders>
              <w:top w:val="single" w:color="000000" w:sz="4" w:space="0"/>
              <w:left w:val="single" w:color="000000" w:sz="4" w:space="0"/>
              <w:bottom w:val="single" w:color="auto"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材料单价</w:t>
            </w:r>
          </w:p>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（含税）</w:t>
            </w:r>
          </w:p>
          <w:p>
            <w:pPr>
              <w:pStyle w:val="14"/>
              <w:adjustRightInd/>
              <w:snapToGrid w:val="0"/>
              <w:spacing w:line="480" w:lineRule="exact"/>
              <w:ind w:right="-107" w:rightChars="-51"/>
              <w:contextualSpacing/>
              <w:jc w:val="center"/>
              <w:rPr>
                <w:rFonts w:ascii="宋体" w:hAnsi="宋体" w:eastAsia="宋体" w:cs="宋体"/>
                <w:color w:val="auto"/>
                <w:highlight w:val="none"/>
              </w:rPr>
            </w:pPr>
            <w:r>
              <w:rPr>
                <w:rFonts w:hint="eastAsia" w:ascii="宋体" w:hAnsi="宋体" w:eastAsia="宋体" w:cs="宋体"/>
                <w:color w:val="auto"/>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止水钢板(成品)</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lang w:eastAsia="zh-CN"/>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rPr>
              <w:t>3*400mm</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6100.00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m</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39.22</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止水钢板(成品)</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rPr>
              <w:t>3*300mm</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6900.00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m</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34.32</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38.78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钢丝网</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rPr>
              <w:t>网径0.6mm，孔径10mm</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10010.00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sz w:val="24"/>
                <w:szCs w:val="24"/>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m2</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3.58</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水泥</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rPr>
              <w:t>32.5</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150.00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t</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490.29</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554.03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水泥</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highlight w:val="none"/>
              </w:rPr>
            </w:pPr>
            <w:r>
              <w:rPr>
                <w:rFonts w:hint="eastAsia"/>
              </w:rPr>
              <w:t>42.5</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2550.00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t</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529.51</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598.35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沙子</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highlight w:val="none"/>
              </w:rPr>
            </w:pPr>
            <w:r>
              <w:rPr>
                <w:rFonts w:hint="eastAsia"/>
              </w:rPr>
              <w:t>中粗</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150.00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m3</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235.34</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265.93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0"/>
                <w:szCs w:val="20"/>
                <w:u w:val="none"/>
                <w:lang w:val="en-US" w:eastAsia="zh-CN" w:bidi="ar"/>
              </w:rPr>
              <w:t>挤塑聚苯乙烯泡沫板XPS</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rPr>
              <w:t>57.5mm厚</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1280.00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m3</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488.33</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551.81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4"/>
                <w:szCs w:val="24"/>
                <w:u w:val="none"/>
                <w:lang w:val="en-US" w:eastAsia="zh-CN" w:bidi="ar"/>
              </w:rPr>
              <w:t>挤塑板</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highlight w:val="none"/>
              </w:rPr>
            </w:pPr>
            <w:r>
              <w:rPr>
                <w:rFonts w:hint="eastAsia"/>
              </w:rPr>
              <w:t>B1级</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185.00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m3</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488.33</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551.81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聚合物抗裂砂浆</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r>
              <w:rPr>
                <w:rFonts w:hint="eastAsia"/>
              </w:rPr>
              <w:t>/</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130.00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t</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568.74</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642.67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聚合物粘结砂浆</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highlight w:val="none"/>
              </w:rPr>
            </w:pPr>
            <w:r>
              <w:rPr>
                <w:rFonts w:hint="eastAsia"/>
              </w:rPr>
              <w:t>/</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325.00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t</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588.35</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664.83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蒸压粉煤灰加气混凝土砌块</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highlight w:val="none"/>
              </w:rPr>
            </w:pPr>
            <w:r>
              <w:rPr>
                <w:rFonts w:hint="eastAsia"/>
              </w:rPr>
              <w:t>综合规格</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17604.41</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m3</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294.17</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332.42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砌筑干粉砂浆</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highlight w:val="none"/>
              </w:rPr>
            </w:pPr>
            <w:r>
              <w:rPr>
                <w:rFonts w:hint="eastAsia"/>
              </w:rPr>
              <w:t>M5</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1483.98</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t</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375.61</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424.44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抹灰干粉砂浆</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highlight w:val="none"/>
              </w:rPr>
            </w:pPr>
            <w:r>
              <w:rPr>
                <w:rFonts w:hint="eastAsia"/>
              </w:rPr>
              <w:t>M10</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2173.00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t</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389.18</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439.78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地面抹干粉砂浆</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highlight w:val="none"/>
              </w:rPr>
            </w:pPr>
            <w:r>
              <w:rPr>
                <w:rFonts w:hint="eastAsia"/>
              </w:rPr>
              <w:t>M15</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1133.79</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t</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400.43</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452.49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烧结页岩多孔砖</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eastAsia="宋体"/>
                <w:lang w:val="en-US" w:eastAsia="zh-CN"/>
              </w:rPr>
              <w:t>不限</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rPr>
              <w:t>190×90×90</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77450.00</w:t>
            </w:r>
          </w:p>
        </w:tc>
        <w:tc>
          <w:tcPr>
            <w:tcW w:w="741"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仿宋" w:hAnsi="仿宋" w:eastAsia="仿宋" w:cs="仿宋"/>
                <w:i w:val="0"/>
                <w:iCs w:val="0"/>
                <w:color w:val="000000"/>
                <w:kern w:val="0"/>
                <w:sz w:val="22"/>
                <w:szCs w:val="22"/>
                <w:u w:val="none"/>
                <w:lang w:val="en-US" w:eastAsia="zh-CN" w:bidi="ar"/>
              </w:rPr>
              <w:t>块</w:t>
            </w:r>
          </w:p>
        </w:tc>
        <w:tc>
          <w:tcPr>
            <w:tcW w:w="1553" w:type="dxa"/>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0.63</w:t>
            </w:r>
          </w:p>
        </w:tc>
        <w:tc>
          <w:tcPr>
            <w:tcW w:w="114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000000"/>
                <w:kern w:val="0"/>
                <w:sz w:val="22"/>
                <w:szCs w:val="22"/>
                <w:u w:val="none"/>
                <w:lang w:val="en-US" w:eastAsia="zh-CN" w:bidi="ar"/>
              </w:rPr>
              <w:t>0.71</w:t>
            </w:r>
          </w:p>
        </w:tc>
      </w:tr>
    </w:tbl>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lang w:val="en-US" w:eastAsia="zh-CN" w:bidi="ar-SA"/>
        </w:rPr>
        <w:t>以上述清单量</w:t>
      </w:r>
      <w:r>
        <w:rPr>
          <w:rFonts w:hint="eastAsia" w:ascii="仿宋_GB2312" w:hAnsi="仿宋_GB2312" w:eastAsia="仿宋_GB2312" w:cs="仿宋_GB2312"/>
          <w:kern w:val="2"/>
          <w:sz w:val="32"/>
          <w:szCs w:val="32"/>
          <w:u w:val="none"/>
          <w:lang w:val="en-US" w:eastAsia="zh-CN" w:bidi="ar-SA"/>
        </w:rPr>
        <w:t>，最终以实际为准。</w:t>
      </w:r>
    </w:p>
    <w:p>
      <w:pPr>
        <w:numPr>
          <w:ilvl w:val="0"/>
          <w:numId w:val="1"/>
        </w:numPr>
        <w:spacing w:line="360" w:lineRule="auto"/>
        <w:ind w:left="0" w:leftChars="0" w:firstLine="0" w:firstLineChars="0"/>
        <w:rPr>
          <w:rFonts w:hint="eastAsia"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产品质量：</w:t>
      </w:r>
      <w:r>
        <w:rPr>
          <w:rFonts w:hint="eastAsia" w:ascii="仿宋_GB2312" w:hAnsi="仿宋_GB2312" w:eastAsia="仿宋_GB2312" w:cs="仿宋_GB2312"/>
          <w:kern w:val="2"/>
          <w:sz w:val="32"/>
          <w:szCs w:val="32"/>
          <w:u w:val="none"/>
          <w:lang w:val="en-US" w:eastAsia="zh-CN" w:bidi="ar-SA"/>
        </w:rPr>
        <w:t>符合国家现行有效的质量及检测等标准。</w:t>
      </w:r>
    </w:p>
    <w:p>
      <w:pPr>
        <w:numPr>
          <w:ilvl w:val="0"/>
          <w:numId w:val="0"/>
        </w:numPr>
        <w:spacing w:line="360" w:lineRule="auto"/>
        <w:ind w:leftChars="0"/>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b w:val="0"/>
          <w:bCs w:val="0"/>
          <w:color w:val="000000"/>
          <w:sz w:val="32"/>
          <w:szCs w:val="32"/>
          <w:shd w:val="clear" w:color="auto" w:fill="FFFFFF"/>
          <w:lang w:val="en-US" w:eastAsia="zh-CN"/>
        </w:rPr>
        <w:t>不限</w:t>
      </w:r>
      <w:r>
        <w:rPr>
          <w:rFonts w:hint="eastAsia" w:ascii="仿宋_GB2312" w:hAnsi="仿宋_GB2312" w:eastAsia="仿宋_GB2312" w:cs="仿宋_GB2312"/>
          <w:b w:val="0"/>
          <w:bCs w:val="0"/>
          <w:color w:val="000000"/>
          <w:sz w:val="32"/>
          <w:szCs w:val="32"/>
          <w:shd w:val="clear" w:color="auto" w:fill="FFFFFF"/>
          <w:lang w:eastAsia="zh-CN"/>
        </w:rPr>
        <w:t>。</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6"/>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6"/>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6"/>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在三家及以上时，按以下程序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4、付款方式：办理结算后第二个月月底（30日）前，以现金、银行转账</w:t>
      </w:r>
      <w:r>
        <w:rPr>
          <w:rFonts w:hint="eastAsia" w:ascii="仿宋_GB2312" w:hAnsi="仿宋_GB2312" w:eastAsia="仿宋_GB2312" w:cs="仿宋_GB2312"/>
          <w:color w:val="000000"/>
          <w:kern w:val="0"/>
          <w:sz w:val="32"/>
          <w:szCs w:val="32"/>
          <w:lang w:eastAsia="zh-CN"/>
        </w:rPr>
        <w:t>方式</w:t>
      </w:r>
      <w:r>
        <w:rPr>
          <w:rFonts w:hint="eastAsia" w:ascii="仿宋_GB2312" w:hAnsi="仿宋_GB2312" w:eastAsia="仿宋_GB2312" w:cs="仿宋_GB2312"/>
          <w:color w:val="000000"/>
          <w:kern w:val="0"/>
          <w:sz w:val="32"/>
          <w:szCs w:val="32"/>
        </w:rPr>
        <w:t>支付第一个月验收合格且办理完结算供货款的</w:t>
      </w:r>
      <w:r>
        <w:rPr>
          <w:rFonts w:hint="eastAsia" w:ascii="仿宋_GB2312" w:hAnsi="仿宋_GB2312" w:eastAsia="仿宋_GB2312" w:cs="仿宋_GB2312"/>
          <w:color w:val="000000"/>
          <w:kern w:val="0"/>
          <w:sz w:val="32"/>
          <w:szCs w:val="32"/>
          <w:lang w:val="en-US" w:eastAsia="zh-CN"/>
        </w:rPr>
        <w:t>70</w:t>
      </w:r>
      <w:r>
        <w:rPr>
          <w:rFonts w:hint="eastAsia" w:ascii="仿宋_GB2312" w:hAnsi="仿宋_GB2312" w:eastAsia="仿宋_GB2312" w:cs="仿宋_GB2312"/>
          <w:color w:val="000000"/>
          <w:kern w:val="0"/>
          <w:sz w:val="32"/>
          <w:szCs w:val="32"/>
        </w:rPr>
        <w:t>%，以此类推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竣工验收后6个月内办理完最终结算生效后，无息支付至100%。。</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4"/>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4"/>
        <w:numPr>
          <w:ilvl w:val="0"/>
          <w:numId w:val="3"/>
        </w:numPr>
        <w:jc w:val="center"/>
        <w:rPr>
          <w:rFonts w:hint="eastAsia"/>
          <w:lang w:val="en-US" w:eastAsia="zh-CN"/>
        </w:rPr>
      </w:pPr>
      <w:r>
        <w:rPr>
          <w:rFonts w:hint="eastAsia"/>
          <w:lang w:val="en-US" w:eastAsia="zh-CN"/>
        </w:rPr>
        <w:t>报价单</w:t>
      </w:r>
    </w:p>
    <w:tbl>
      <w:tblPr>
        <w:tblStyle w:val="10"/>
        <w:tblpPr w:leftFromText="180" w:rightFromText="180" w:vertAnchor="text" w:horzAnchor="page" w:tblpX="1642" w:tblpY="462"/>
        <w:tblOverlap w:val="never"/>
        <w:tblW w:w="75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984"/>
        <w:gridCol w:w="717"/>
        <w:gridCol w:w="850"/>
        <w:gridCol w:w="741"/>
        <w:gridCol w:w="1553"/>
        <w:gridCol w:w="1142"/>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ascii="宋体" w:hAnsi="宋体" w:eastAsia="宋体" w:cs="宋体"/>
                <w:color w:val="auto"/>
                <w:highlight w:val="none"/>
              </w:rPr>
            </w:pPr>
          </w:p>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材料</w:t>
            </w:r>
          </w:p>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名称</w:t>
            </w: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品牌</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规格</w:t>
            </w:r>
          </w:p>
        </w:tc>
        <w:tc>
          <w:tcPr>
            <w:tcW w:w="741"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单位</w:t>
            </w:r>
          </w:p>
        </w:tc>
        <w:tc>
          <w:tcPr>
            <w:tcW w:w="1553"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材料单价</w:t>
            </w:r>
          </w:p>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（不含税）（元）</w:t>
            </w:r>
          </w:p>
        </w:tc>
        <w:tc>
          <w:tcPr>
            <w:tcW w:w="1142"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p>
            <w:pPr>
              <w:pStyle w:val="14"/>
              <w:adjustRightInd/>
              <w:snapToGrid w:val="0"/>
              <w:spacing w:line="480" w:lineRule="exact"/>
              <w:contextualSpacing/>
              <w:jc w:val="center"/>
              <w:rPr>
                <w:rFonts w:hint="eastAsia" w:ascii="宋体" w:hAnsi="宋体" w:eastAsia="宋体" w:cs="宋体"/>
                <w:color w:val="auto"/>
                <w:highlight w:val="none"/>
              </w:rPr>
            </w:pPr>
            <w:r>
              <w:rPr>
                <w:rFonts w:hint="eastAsia" w:ascii="宋体" w:hAnsi="宋体" w:eastAsia="宋体" w:cs="宋体"/>
                <w:color w:val="auto"/>
                <w:highlight w:val="none"/>
              </w:rPr>
              <w:t>税率</w:t>
            </w:r>
          </w:p>
          <w:p>
            <w:pPr>
              <w:pStyle w:val="14"/>
              <w:adjustRightInd/>
              <w:snapToGrid w:val="0"/>
              <w:spacing w:line="480" w:lineRule="exact"/>
              <w:contextualSpacing/>
              <w:jc w:val="center"/>
              <w:rPr>
                <w:rFonts w:hint="eastAsia" w:ascii="宋体" w:hAnsi="宋体" w:eastAsia="宋体" w:cs="宋体"/>
                <w:color w:val="auto"/>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材料单价</w:t>
            </w:r>
          </w:p>
          <w:p>
            <w:pPr>
              <w:pStyle w:val="14"/>
              <w:adjustRightInd/>
              <w:snapToGrid w:val="0"/>
              <w:spacing w:line="480" w:lineRule="exact"/>
              <w:contextualSpacing/>
              <w:jc w:val="center"/>
              <w:rPr>
                <w:rFonts w:ascii="宋体" w:hAnsi="宋体" w:eastAsia="宋体" w:cs="宋体"/>
                <w:color w:val="auto"/>
                <w:highlight w:val="none"/>
              </w:rPr>
            </w:pPr>
            <w:r>
              <w:rPr>
                <w:rFonts w:hint="eastAsia" w:ascii="宋体" w:hAnsi="宋体" w:eastAsia="宋体" w:cs="宋体"/>
                <w:color w:val="auto"/>
                <w:highlight w:val="none"/>
              </w:rPr>
              <w:t>（含税）</w:t>
            </w:r>
          </w:p>
          <w:p>
            <w:pPr>
              <w:pStyle w:val="14"/>
              <w:adjustRightInd/>
              <w:snapToGrid w:val="0"/>
              <w:spacing w:line="480" w:lineRule="exact"/>
              <w:ind w:right="-107" w:rightChars="-51"/>
              <w:contextualSpacing/>
              <w:jc w:val="center"/>
              <w:rPr>
                <w:rFonts w:ascii="宋体" w:hAnsi="宋体" w:eastAsia="宋体" w:cs="宋体"/>
                <w:color w:val="auto"/>
                <w:highlight w:val="none"/>
              </w:rPr>
            </w:pPr>
            <w:r>
              <w:rPr>
                <w:rFonts w:hint="eastAsia" w:ascii="宋体" w:hAnsi="宋体" w:eastAsia="宋体" w:cs="宋体"/>
                <w:color w:val="auto"/>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41"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553"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ind w:right="-107" w:rightChars="-51"/>
              <w:contextualSpacing/>
              <w:jc w:val="center"/>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41"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553"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ind w:right="-107" w:rightChars="-51"/>
              <w:contextualSpacing/>
              <w:jc w:val="center"/>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41"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553"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ind w:right="-107" w:rightChars="-51"/>
              <w:contextualSpacing/>
              <w:jc w:val="center"/>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41"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553"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ind w:right="-107" w:rightChars="-51"/>
              <w:contextualSpacing/>
              <w:jc w:val="center"/>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41"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553"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ind w:right="-107" w:rightChars="-51"/>
              <w:contextualSpacing/>
              <w:jc w:val="center"/>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41"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553"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ind w:right="-107" w:rightChars="-51"/>
              <w:contextualSpacing/>
              <w:jc w:val="center"/>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41"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553"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ind w:right="-107" w:rightChars="-51"/>
              <w:contextualSpacing/>
              <w:jc w:val="center"/>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534" w:type="dxa"/>
            <w:tcBorders>
              <w:top w:val="single" w:color="000000" w:sz="4" w:space="0"/>
              <w:left w:val="single" w:color="000000" w:sz="4" w:space="0"/>
              <w:bottom w:val="single" w:color="000000"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17" w:type="dxa"/>
            <w:tcBorders>
              <w:top w:val="single" w:color="000000" w:sz="4" w:space="0"/>
              <w:left w:val="single" w:color="auto"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741"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553" w:type="dxa"/>
            <w:tcBorders>
              <w:top w:val="single" w:color="000000" w:sz="4" w:space="0"/>
              <w:left w:val="single" w:color="auto" w:sz="4" w:space="0"/>
              <w:bottom w:val="single" w:color="000000" w:sz="4" w:space="0"/>
              <w:right w:val="single" w:color="auto" w:sz="4" w:space="0"/>
            </w:tcBorders>
            <w:vAlign w:val="center"/>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142" w:type="dxa"/>
            <w:tcBorders>
              <w:top w:val="single" w:color="000000" w:sz="4" w:space="0"/>
              <w:left w:val="single" w:color="000000" w:sz="4" w:space="0"/>
              <w:bottom w:val="single" w:color="auto" w:sz="4" w:space="0"/>
              <w:right w:val="single" w:color="000000" w:sz="4" w:space="0"/>
            </w:tcBorders>
            <w:vAlign w:val="top"/>
          </w:tcPr>
          <w:p>
            <w:pPr>
              <w:pStyle w:val="14"/>
              <w:adjustRightInd/>
              <w:snapToGrid w:val="0"/>
              <w:spacing w:line="480" w:lineRule="exact"/>
              <w:contextualSpacing/>
              <w:jc w:val="center"/>
              <w:rPr>
                <w:rFonts w:hint="eastAsia" w:ascii="宋体" w:hAnsi="宋体" w:eastAsia="宋体" w:cs="宋体"/>
                <w:color w:val="auto"/>
                <w:highlight w:val="none"/>
              </w:rPr>
            </w:pPr>
          </w:p>
        </w:tc>
        <w:tc>
          <w:tcPr>
            <w:tcW w:w="1062" w:type="dxa"/>
            <w:tcBorders>
              <w:top w:val="single" w:color="000000" w:sz="4" w:space="0"/>
              <w:left w:val="single" w:color="000000" w:sz="4" w:space="0"/>
              <w:bottom w:val="single" w:color="auto" w:sz="4" w:space="0"/>
              <w:right w:val="single" w:color="000000" w:sz="4" w:space="0"/>
            </w:tcBorders>
            <w:vAlign w:val="center"/>
          </w:tcPr>
          <w:p>
            <w:pPr>
              <w:pStyle w:val="14"/>
              <w:adjustRightInd/>
              <w:snapToGrid w:val="0"/>
              <w:spacing w:line="480" w:lineRule="exact"/>
              <w:ind w:right="-107" w:rightChars="-51"/>
              <w:contextualSpacing/>
              <w:jc w:val="center"/>
              <w:rPr>
                <w:rFonts w:hint="eastAsia" w:ascii="宋体" w:hAnsi="宋体" w:eastAsia="宋体" w:cs="宋体"/>
                <w:color w:val="auto"/>
                <w:highlight w:val="none"/>
              </w:rPr>
            </w:pPr>
          </w:p>
        </w:tc>
      </w:tr>
    </w:tbl>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报价单位（盖章）：</w:t>
      </w:r>
    </w:p>
    <w:p>
      <w:pPr>
        <w:spacing w:line="460" w:lineRule="exact"/>
        <w:ind w:left="-2" w:leftChars="-50" w:hanging="103" w:hangingChars="43"/>
        <w:jc w:val="center"/>
        <w:rPr>
          <w:rFonts w:hint="eastAsia" w:ascii="仿宋" w:hAnsi="仿宋" w:eastAsia="仿宋" w:cs="仿宋"/>
          <w:i w:val="0"/>
          <w:iCs/>
          <w:sz w:val="24"/>
          <w:highlight w:val="none"/>
          <w:lang w:val="en-US" w:eastAsia="zh-CN"/>
        </w:rPr>
      </w:pPr>
      <w:r>
        <w:rPr>
          <w:rFonts w:hint="eastAsia" w:ascii="仿宋" w:hAnsi="仿宋" w:eastAsia="仿宋" w:cs="仿宋"/>
          <w:i w:val="0"/>
          <w:iCs/>
          <w:sz w:val="24"/>
          <w:highlight w:val="none"/>
          <w:lang w:val="en-US" w:eastAsia="zh-CN"/>
        </w:rPr>
        <w:t xml:space="preserve">                    法人或委托代理人签字：</w:t>
      </w:r>
    </w:p>
    <w:p>
      <w:pPr>
        <w:spacing w:line="460" w:lineRule="exact"/>
        <w:ind w:left="-2" w:leftChars="-50" w:hanging="103" w:hangingChars="43"/>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仿宋"/>
          <w:i w:val="0"/>
          <w:iCs/>
          <w:sz w:val="24"/>
          <w:highlight w:val="none"/>
          <w:lang w:val="en-US" w:eastAsia="zh-CN"/>
        </w:rPr>
        <w:t xml:space="preserve">        报价日期：</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4"/>
        <w:numPr>
          <w:ilvl w:val="0"/>
          <w:numId w:val="0"/>
        </w:numPr>
        <w:ind w:leftChars="0"/>
        <w:rPr>
          <w:rFonts w:hint="eastAsia" w:ascii="仿宋" w:hAnsi="仿宋" w:eastAsia="仿宋" w:cs="仿宋"/>
          <w:b w:val="0"/>
          <w:bCs w:val="0"/>
          <w:lang w:val="en-US" w:eastAsia="zh-CN"/>
        </w:rPr>
        <w:sectPr>
          <w:footerReference r:id="rId8"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4"/>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5"/>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2"/>
        <w:rPr>
          <w:rFonts w:hint="default"/>
          <w:lang w:val="en-US" w:eastAsia="zh-CN"/>
        </w:rPr>
      </w:pPr>
    </w:p>
    <w:p>
      <w:pPr>
        <w:pStyle w:val="9"/>
        <w:widowControl/>
        <w:spacing w:before="75" w:beforeAutospacing="0" w:after="75" w:afterAutospacing="0" w:line="435" w:lineRule="atLeast"/>
        <w:jc w:val="center"/>
      </w:pPr>
      <w:r>
        <w:rPr>
          <w:rStyle w:val="13"/>
          <w:rFonts w:hint="eastAsia" w:ascii="宋体" w:hAnsi="宋体" w:eastAsia="宋体" w:cs="宋体"/>
          <w:sz w:val="43"/>
          <w:szCs w:val="43"/>
          <w:lang w:val="en-US" w:eastAsia="zh-CN"/>
        </w:rPr>
        <w:t>承诺</w:t>
      </w:r>
      <w:r>
        <w:rPr>
          <w:rStyle w:val="13"/>
        </w:rPr>
        <w:t> </w:t>
      </w:r>
      <w:r>
        <w:rPr>
          <w:rStyle w:val="13"/>
          <w:rFonts w:hint="eastAsia" w:ascii="宋体" w:hAnsi="宋体" w:eastAsia="宋体" w:cs="宋体"/>
          <w:sz w:val="43"/>
          <w:szCs w:val="43"/>
        </w:rPr>
        <w:t>函</w:t>
      </w:r>
    </w:p>
    <w:p>
      <w:pPr>
        <w:pStyle w:val="9"/>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9"/>
        <w:widowControl/>
        <w:spacing w:before="75" w:beforeAutospacing="0" w:after="75" w:afterAutospacing="0" w:line="435" w:lineRule="atLeast"/>
        <w:ind w:firstLine="480"/>
        <w:rPr>
          <w:rFonts w:hint="eastAsia" w:ascii="宋体" w:hAnsi="宋体" w:eastAsia="宋体" w:cs="宋体"/>
          <w:color w:val="000000"/>
        </w:rPr>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2022</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eastAsia="宋体" w:cs="宋体"/>
          <w:color w:val="000000"/>
          <w:lang w:val="en-US" w:eastAsia="zh-CN"/>
        </w:rPr>
        <w:t>0403202200106009号业务批量地材、砂浆、辅材等供应采购项目</w:t>
      </w:r>
      <w:r>
        <w:rPr>
          <w:rFonts w:hint="eastAsia" w:ascii="宋体" w:hAnsi="宋体" w:eastAsia="宋体" w:cs="宋体"/>
          <w:color w:val="000000"/>
        </w:rPr>
        <w:t>》。经研究决定，我公司在此郑重承诺：</w:t>
      </w:r>
    </w:p>
    <w:p>
      <w:pPr>
        <w:pStyle w:val="9"/>
        <w:widowControl/>
        <w:spacing w:before="75" w:beforeAutospacing="0" w:after="75" w:afterAutospacing="0" w:line="435" w:lineRule="atLeast"/>
        <w:ind w:firstLine="480"/>
        <w:rPr>
          <w:rFonts w:hint="eastAsia" w:ascii="宋体" w:hAnsi="宋体" w:eastAsia="宋体" w:cs="宋体"/>
          <w:color w:val="000000"/>
        </w:rPr>
      </w:pPr>
      <w:r>
        <w:rPr>
          <w:rFonts w:hint="eastAsia" w:ascii="宋体" w:hAnsi="宋体" w:eastAsia="宋体" w:cs="宋体"/>
          <w:color w:val="000000"/>
        </w:rPr>
        <w:t>1、我公司已经详细阅读该文件所有内容，充分领会并完全接受文件所述内容。我公司保证不会对文件产生不利于双方友好合作关系和将增加贵公司范围内经济支出的重大误解。</w:t>
      </w:r>
    </w:p>
    <w:p>
      <w:pPr>
        <w:pStyle w:val="9"/>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9"/>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9"/>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9"/>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9"/>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2022年  月  日</w:t>
      </w:r>
    </w:p>
    <w:p>
      <w:pPr>
        <w:rPr>
          <w:rFonts w:hint="default"/>
          <w:lang w:val="en-US" w:eastAsia="zh-CN"/>
        </w:rPr>
      </w:pPr>
    </w:p>
    <w:p>
      <w:pPr>
        <w:rPr>
          <w:rFonts w:hint="default"/>
          <w:lang w:val="en-US" w:eastAsia="zh-CN"/>
        </w:rPr>
      </w:pPr>
    </w:p>
    <w:p>
      <w:pPr>
        <w:pStyle w:val="2"/>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0"/>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AF09"/>
    <w:multiLevelType w:val="singleLevel"/>
    <w:tmpl w:val="A0E8AF09"/>
    <w:lvl w:ilvl="0" w:tentative="0">
      <w:start w:val="1"/>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ODVhYzU4YjI0NjFmNzIyNjk3MDhmY2Q0ZThlNm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3771082"/>
    <w:rsid w:val="06C72BBB"/>
    <w:rsid w:val="07F4170D"/>
    <w:rsid w:val="080C00CE"/>
    <w:rsid w:val="0B542AE8"/>
    <w:rsid w:val="0C6A1D93"/>
    <w:rsid w:val="11874654"/>
    <w:rsid w:val="12A260B8"/>
    <w:rsid w:val="12B958E2"/>
    <w:rsid w:val="164139E5"/>
    <w:rsid w:val="17F53EC6"/>
    <w:rsid w:val="1B6F5E48"/>
    <w:rsid w:val="28BB1D61"/>
    <w:rsid w:val="299D0814"/>
    <w:rsid w:val="2A4131F8"/>
    <w:rsid w:val="2B00193E"/>
    <w:rsid w:val="33D80504"/>
    <w:rsid w:val="38903BC1"/>
    <w:rsid w:val="3DF801FB"/>
    <w:rsid w:val="3E9837AF"/>
    <w:rsid w:val="44E65F41"/>
    <w:rsid w:val="45002AD2"/>
    <w:rsid w:val="494F6C44"/>
    <w:rsid w:val="499D562B"/>
    <w:rsid w:val="4D043E09"/>
    <w:rsid w:val="52A4495F"/>
    <w:rsid w:val="547D645D"/>
    <w:rsid w:val="571C7114"/>
    <w:rsid w:val="5A6F3841"/>
    <w:rsid w:val="5AB535EB"/>
    <w:rsid w:val="5B632A20"/>
    <w:rsid w:val="5CA96966"/>
    <w:rsid w:val="5D5D52A9"/>
    <w:rsid w:val="615F2C84"/>
    <w:rsid w:val="62571BBC"/>
    <w:rsid w:val="6BE323F6"/>
    <w:rsid w:val="6C745D41"/>
    <w:rsid w:val="724C220A"/>
    <w:rsid w:val="73007F83"/>
    <w:rsid w:val="77525803"/>
    <w:rsid w:val="79333A9C"/>
    <w:rsid w:val="797D1BBD"/>
    <w:rsid w:val="7B7226A6"/>
    <w:rsid w:val="7E99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Normal Indent"/>
    <w:basedOn w:val="1"/>
    <w:next w:val="1"/>
    <w:qFormat/>
    <w:uiPriority w:val="0"/>
    <w:pPr>
      <w:ind w:firstLine="420"/>
    </w:pPr>
  </w:style>
  <w:style w:type="paragraph" w:styleId="6">
    <w:name w:val="Body Text Indent 2"/>
    <w:basedOn w:val="1"/>
    <w:qFormat/>
    <w:uiPriority w:val="0"/>
    <w:pPr>
      <w:autoSpaceDE w:val="0"/>
      <w:autoSpaceDN w:val="0"/>
      <w:adjustRightInd w:val="0"/>
      <w:ind w:left="1" w:firstLine="480" w:firstLineChars="200"/>
    </w:pPr>
    <w:rPr>
      <w:kern w:val="0"/>
      <w:sz w:val="24"/>
    </w:rPr>
  </w:style>
  <w:style w:type="paragraph" w:styleId="7">
    <w:name w:val="footer"/>
    <w:basedOn w:val="1"/>
    <w:unhideWhenUsed/>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qFormat/>
    <w:uiPriority w:val="34"/>
    <w:pPr>
      <w:spacing w:line="360" w:lineRule="auto"/>
      <w:ind w:firstLine="420" w:firstLineChars="200"/>
    </w:pPr>
    <w:rPr>
      <w:sz w:val="24"/>
    </w:rPr>
  </w:style>
  <w:style w:type="character" w:customStyle="1" w:styleId="16">
    <w:name w:val="font11"/>
    <w:basedOn w:val="1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16</Pages>
  <Words>3207</Words>
  <Characters>3644</Characters>
  <Lines>21</Lines>
  <Paragraphs>6</Paragraphs>
  <TotalTime>2</TotalTime>
  <ScaleCrop>false</ScaleCrop>
  <LinksUpToDate>false</LinksUpToDate>
  <CharactersWithSpaces>4649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沉秋</cp:lastModifiedBy>
  <cp:lastPrinted>2022-07-13T08:29:00Z</cp:lastPrinted>
  <dcterms:modified xsi:type="dcterms:W3CDTF">2022-07-18T06:05:18Z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0281DCCE39114F19B7898F8DB17FE491</vt:lpwstr>
  </property>
</Properties>
</file>