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《GKGYLGG202303004》号业务批量彩板采购项目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四</w:t>
      </w:r>
      <w:r>
        <w:rPr>
          <w:rFonts w:hint="eastAsia" w:ascii="宋体" w:hAnsi="宋体" w:cs="宋体"/>
          <w:sz w:val="32"/>
          <w:szCs w:val="32"/>
        </w:rPr>
        <w:t>月</w:t>
      </w:r>
    </w:p>
    <w:p>
      <w:pPr>
        <w:pStyle w:val="4"/>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《GKGYLGG202303004》号业务批量彩板采购项目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以清单为准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13</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15</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5"/>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5"/>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5"/>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17</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至多</w:t>
            </w:r>
            <w:r>
              <w:rPr>
                <w:rFonts w:hint="eastAsia" w:ascii="宋体" w:hAnsi="宋体" w:cs="宋体"/>
                <w:color w:val="000000"/>
                <w:kern w:val="0"/>
                <w:sz w:val="24"/>
              </w:rPr>
              <w:t>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5"/>
      </w:pPr>
    </w:p>
    <w:p/>
    <w:p>
      <w:pPr>
        <w:pStyle w:val="5"/>
      </w:pPr>
    </w:p>
    <w:p/>
    <w:p>
      <w:pPr>
        <w:pStyle w:val="5"/>
      </w:pPr>
    </w:p>
    <w:p/>
    <w:p>
      <w:pPr>
        <w:pStyle w:val="5"/>
      </w:pPr>
    </w:p>
    <w:p/>
    <w:p>
      <w:pPr>
        <w:pStyle w:val="5"/>
      </w:pPr>
    </w:p>
    <w:p>
      <w:pPr>
        <w:pStyle w:val="4"/>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4"/>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1"/>
        <w:tblW w:w="0" w:type="auto"/>
        <w:jc w:val="center"/>
        <w:tblLayout w:type="autofit"/>
        <w:tblCellMar>
          <w:top w:w="0" w:type="dxa"/>
          <w:left w:w="108" w:type="dxa"/>
          <w:bottom w:w="0" w:type="dxa"/>
          <w:right w:w="108" w:type="dxa"/>
        </w:tblCellMar>
      </w:tblPr>
      <w:tblGrid>
        <w:gridCol w:w="484"/>
        <w:gridCol w:w="541"/>
        <w:gridCol w:w="2899"/>
        <w:gridCol w:w="1133"/>
        <w:gridCol w:w="3465"/>
      </w:tblGrid>
      <w:tr>
        <w:tblPrEx>
          <w:tblCellMar>
            <w:top w:w="0" w:type="dxa"/>
            <w:left w:w="108" w:type="dxa"/>
            <w:bottom w:w="0" w:type="dxa"/>
            <w:right w:w="108" w:type="dxa"/>
          </w:tblCellMar>
        </w:tblPrEx>
        <w:trPr>
          <w:trHeight w:val="38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序号</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材料名称</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单价（元）</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备注</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1</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外墙板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0.5mm彩钢（RAL7004）</w:t>
            </w:r>
          </w:p>
          <w:p>
            <w:pPr>
              <w:ind w:firstLine="360" w:firstLineChars="150"/>
              <w:rPr>
                <w:rFonts w:ascii="宋体" w:hAnsi="宋体" w:cs="宋体"/>
                <w:sz w:val="24"/>
              </w:rPr>
            </w:pPr>
            <w:r>
              <w:rPr>
                <w:rFonts w:hint="eastAsia" w:ascii="宋体" w:hAnsi="宋体" w:cs="宋体"/>
                <w:sz w:val="24"/>
              </w:rPr>
              <w:t>(PVDF,25/5,AZ100g)</w:t>
            </w:r>
            <w:r>
              <w:rPr>
                <w:rFonts w:ascii="宋体" w:hAnsi="宋体" w:cs="宋体"/>
                <w:sz w:val="24"/>
              </w:rPr>
              <w:t xml:space="preserve"> </w:t>
            </w:r>
          </w:p>
          <w:p>
            <w:pPr>
              <w:ind w:left="525" w:leftChars="250" w:firstLine="120" w:firstLineChars="50"/>
              <w:rPr>
                <w:rFonts w:ascii="宋体" w:hAnsi="宋体" w:cs="宋体"/>
                <w:sz w:val="24"/>
              </w:rPr>
            </w:pPr>
          </w:p>
          <w:p>
            <w:pPr>
              <w:tabs>
                <w:tab w:val="left" w:pos="579"/>
              </w:tabs>
              <w:rPr>
                <w:rFonts w:ascii="宋体" w:hAnsi="宋体" w:eastAsia="宋体" w:cs="宋体"/>
                <w:b/>
                <w:kern w:val="2"/>
                <w:sz w:val="24"/>
              </w:rPr>
            </w:pPr>
            <w:r>
              <w:rPr>
                <w:rFonts w:ascii="宋体" w:hAnsi="宋体" w:cs="宋体"/>
                <w:b/>
                <w:sz w:val="24"/>
              </w:rPr>
              <w:t>YX</w:t>
            </w:r>
            <w:r>
              <w:rPr>
                <w:rFonts w:hint="eastAsia" w:ascii="宋体" w:hAnsi="宋体" w:cs="宋体"/>
                <w:b/>
                <w:sz w:val="24"/>
              </w:rPr>
              <w:t>2</w:t>
            </w:r>
            <w:r>
              <w:rPr>
                <w:rFonts w:ascii="宋体" w:hAnsi="宋体" w:cs="宋体"/>
                <w:b/>
                <w:sz w:val="24"/>
              </w:rPr>
              <w:t>5-2</w:t>
            </w:r>
            <w:r>
              <w:rPr>
                <w:rFonts w:hint="eastAsia" w:ascii="宋体" w:hAnsi="宋体" w:cs="宋体"/>
                <w:b/>
                <w:sz w:val="24"/>
              </w:rPr>
              <w:t>10</w:t>
            </w:r>
            <w:r>
              <w:rPr>
                <w:rFonts w:ascii="宋体" w:hAnsi="宋体" w:cs="宋体"/>
                <w:b/>
                <w:sz w:val="24"/>
              </w:rPr>
              <w:t>-</w:t>
            </w:r>
            <w:r>
              <w:rPr>
                <w:rFonts w:hint="eastAsia" w:ascii="宋体" w:hAnsi="宋体" w:cs="宋体"/>
                <w:b/>
                <w:sz w:val="24"/>
              </w:rPr>
              <w:t>840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77.0731</w:t>
            </w:r>
          </w:p>
        </w:tc>
        <w:tc>
          <w:tcPr>
            <w:tcW w:w="0" w:type="auto"/>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采用0.5mm厚自清洁免维护板，RAL7004信号灰，基板镀铝锌含量不小于100g/㎡，外表面氟碳PVDF涂层≥25um，内表面PE涂层≥5um。含外墙板收边件、50mm厚玻璃丝</w:t>
            </w:r>
            <w:bookmarkStart w:id="13" w:name="_GoBack"/>
            <w:bookmarkEnd w:id="13"/>
            <w:r>
              <w:rPr>
                <w:rFonts w:hint="eastAsia"/>
                <w:color w:val="000000"/>
                <w:sz w:val="18"/>
                <w:szCs w:val="18"/>
              </w:rPr>
              <w:t>绵卷毡（12kg/m³）及钉胶等辅材（结构胶保质期10年以上）。</w:t>
            </w:r>
          </w:p>
          <w:p>
            <w:pPr>
              <w:jc w:val="center"/>
              <w:rPr>
                <w:rFonts w:ascii="宋体" w:hAnsi="宋体" w:eastAsia="宋体" w:cs="宋体"/>
                <w:kern w:val="2"/>
                <w:sz w:val="18"/>
                <w:szCs w:val="18"/>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2</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内墙板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0.5mm彩钢（白灰）</w:t>
            </w:r>
          </w:p>
          <w:p>
            <w:pPr>
              <w:ind w:firstLine="360" w:firstLineChars="150"/>
              <w:rPr>
                <w:rFonts w:ascii="宋体" w:hAnsi="宋体" w:cs="宋体"/>
                <w:sz w:val="24"/>
              </w:rPr>
            </w:pPr>
            <w:r>
              <w:rPr>
                <w:rFonts w:hint="eastAsia" w:ascii="宋体" w:hAnsi="宋体" w:cs="宋体"/>
                <w:sz w:val="24"/>
              </w:rPr>
              <w:t>(HDP,20/5,AZ100g)</w:t>
            </w:r>
            <w:r>
              <w:rPr>
                <w:rFonts w:ascii="宋体" w:hAnsi="宋体" w:cs="宋体"/>
                <w:sz w:val="24"/>
              </w:rPr>
              <w:t xml:space="preserve"> </w:t>
            </w:r>
          </w:p>
          <w:p>
            <w:pPr>
              <w:ind w:left="525" w:leftChars="250" w:firstLine="120" w:firstLineChars="50"/>
              <w:rPr>
                <w:rFonts w:ascii="宋体" w:hAnsi="宋体" w:cs="宋体"/>
                <w:sz w:val="24"/>
              </w:rPr>
            </w:pPr>
          </w:p>
          <w:p>
            <w:pPr>
              <w:rPr>
                <w:rFonts w:ascii="宋体" w:hAnsi="宋体" w:eastAsia="宋体" w:cs="宋体"/>
                <w:kern w:val="2"/>
                <w:sz w:val="24"/>
              </w:rPr>
            </w:pPr>
            <w:r>
              <w:rPr>
                <w:rFonts w:ascii="宋体" w:hAnsi="宋体" w:cs="宋体"/>
                <w:b/>
                <w:sz w:val="24"/>
              </w:rPr>
              <w:t>YX15-225-900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47.8033</w:t>
            </w:r>
          </w:p>
        </w:tc>
        <w:tc>
          <w:tcPr>
            <w:tcW w:w="0" w:type="auto"/>
            <w:tcBorders>
              <w:top w:val="nil"/>
              <w:left w:val="nil"/>
              <w:bottom w:val="single" w:color="auto" w:sz="4" w:space="0"/>
              <w:right w:val="single" w:color="auto" w:sz="4" w:space="0"/>
            </w:tcBorders>
            <w:vAlign w:val="center"/>
          </w:tcPr>
          <w:p>
            <w:pPr>
              <w:rPr>
                <w:rFonts w:ascii="宋体" w:hAnsi="宋体" w:eastAsia="宋体" w:cs="宋体"/>
                <w:color w:val="000000"/>
                <w:kern w:val="2"/>
                <w:sz w:val="18"/>
                <w:szCs w:val="18"/>
              </w:rPr>
            </w:pPr>
            <w:r>
              <w:rPr>
                <w:rFonts w:hint="eastAsia"/>
                <w:color w:val="000000"/>
                <w:sz w:val="18"/>
                <w:szCs w:val="18"/>
              </w:rPr>
              <w:t>采用0.5mm厚自清洁免维护板，白灰，基板镀铝锌含量不小于100g/㎡，外表面高耐候HDP涂层≥20um，内表面PE涂层≥5um。含内板收边件及钉胶等辅材（结构胶保质期10年以上）。</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3</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屋面外板</w:t>
            </w:r>
          </w:p>
        </w:tc>
        <w:tc>
          <w:tcPr>
            <w:tcW w:w="0" w:type="auto"/>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sz w:val="24"/>
              </w:rPr>
              <w:t>0.6mm彩钢（白灰）（PVDF,25/5,AZ100g)</w:t>
            </w:r>
            <w:r>
              <w:t xml:space="preserve"> </w:t>
            </w:r>
          </w:p>
          <w:p>
            <w:pPr>
              <w:jc w:val="center"/>
            </w:pPr>
          </w:p>
          <w:p>
            <w:pPr>
              <w:jc w:val="center"/>
              <w:rPr>
                <w:rFonts w:ascii="宋体" w:hAnsi="宋体" w:eastAsia="宋体" w:cs="宋体"/>
                <w:b/>
                <w:kern w:val="2"/>
                <w:sz w:val="24"/>
              </w:rPr>
            </w:pPr>
            <w:r>
              <w:rPr>
                <w:rFonts w:ascii="宋体" w:hAnsi="宋体" w:cs="宋体"/>
                <w:b/>
                <w:sz w:val="24"/>
              </w:rPr>
              <w:t>YX66-470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91.8797</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18"/>
                <w:szCs w:val="18"/>
              </w:rPr>
            </w:pPr>
            <w:r>
              <w:rPr>
                <w:rFonts w:hint="eastAsia"/>
                <w:sz w:val="18"/>
                <w:szCs w:val="18"/>
              </w:rPr>
              <w:t>采用0.6mm厚自清洁免维护板，白灰，基板镀铝锌含量不小于100g/㎡，外表面氟碳PVDF涂层≥25um，内表面PE涂层≥5um，暗扣型。含屋面外板收边件、1.5mmZ型次檩条、50mm厚玻璃丝绵卷毡（12kg/m³）及钉胶等辅材（结构胶保质期10年以上）。</w:t>
            </w:r>
          </w:p>
        </w:tc>
      </w:tr>
      <w:tr>
        <w:tblPrEx>
          <w:tblCellMar>
            <w:top w:w="0" w:type="dxa"/>
            <w:left w:w="108" w:type="dxa"/>
            <w:bottom w:w="0" w:type="dxa"/>
            <w:right w:w="108" w:type="dxa"/>
          </w:tblCellMar>
        </w:tblPrEx>
        <w:trPr>
          <w:trHeight w:val="5837"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4</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屋面内板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0.5mm彩钢（白灰）</w:t>
            </w:r>
          </w:p>
          <w:p>
            <w:pPr>
              <w:ind w:firstLine="360" w:firstLineChars="150"/>
              <w:rPr>
                <w:rFonts w:ascii="宋体" w:hAnsi="宋体" w:cs="宋体"/>
                <w:sz w:val="24"/>
              </w:rPr>
            </w:pPr>
            <w:r>
              <w:rPr>
                <w:rFonts w:hint="eastAsia" w:ascii="宋体" w:hAnsi="宋体" w:cs="宋体"/>
                <w:sz w:val="24"/>
              </w:rPr>
              <w:t>(HDP,20/5,AZ100g)</w:t>
            </w:r>
          </w:p>
          <w:p>
            <w:pPr>
              <w:ind w:firstLine="720" w:firstLineChars="300"/>
              <w:rPr>
                <w:rFonts w:ascii="宋体" w:hAnsi="宋体" w:cs="宋体"/>
                <w:sz w:val="24"/>
              </w:rPr>
            </w:pPr>
          </w:p>
          <w:p>
            <w:pPr>
              <w:rPr>
                <w:rFonts w:ascii="宋体" w:hAnsi="宋体" w:eastAsia="宋体" w:cs="宋体"/>
                <w:b/>
                <w:kern w:val="2"/>
                <w:sz w:val="24"/>
              </w:rPr>
            </w:pPr>
            <w:r>
              <w:rPr>
                <w:rFonts w:ascii="宋体" w:hAnsi="宋体" w:cs="宋体"/>
                <w:b/>
                <w:sz w:val="24"/>
              </w:rPr>
              <w:t>YX15-225-900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46.0762</w:t>
            </w:r>
          </w:p>
        </w:tc>
        <w:tc>
          <w:tcPr>
            <w:tcW w:w="0" w:type="auto"/>
            <w:tcBorders>
              <w:top w:val="nil"/>
              <w:left w:val="nil"/>
              <w:bottom w:val="single" w:color="auto" w:sz="4" w:space="0"/>
              <w:right w:val="single" w:color="auto" w:sz="4" w:space="0"/>
            </w:tcBorders>
            <w:vAlign w:val="center"/>
          </w:tcPr>
          <w:p>
            <w:pPr>
              <w:rPr>
                <w:rFonts w:ascii="宋体" w:hAnsi="宋体" w:eastAsia="宋体" w:cs="宋体"/>
                <w:kern w:val="2"/>
                <w:sz w:val="18"/>
                <w:szCs w:val="18"/>
              </w:rPr>
            </w:pPr>
            <w:r>
              <w:rPr>
                <w:rFonts w:hint="eastAsia"/>
                <w:sz w:val="18"/>
                <w:szCs w:val="18"/>
              </w:rPr>
              <w:t>采用0.5mm厚自清洁免维护板，白灰，基板镀铝锌含量不小于100g/㎡，外表面高耐候HDP涂层≥20um，内表面PE涂层≥5um。含屋面内板收边件、470屋面板支架及钉胶等辅材（结构胶保质期10年以上）。</w:t>
            </w: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5</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屋面天沟</w:t>
            </w:r>
          </w:p>
        </w:tc>
        <w:tc>
          <w:tcPr>
            <w:tcW w:w="0" w:type="auto"/>
            <w:tcBorders>
              <w:top w:val="single" w:color="auto" w:sz="4" w:space="0"/>
              <w:left w:val="nil"/>
              <w:bottom w:val="single" w:color="auto" w:sz="4" w:space="0"/>
              <w:right w:val="single" w:color="auto" w:sz="4" w:space="0"/>
            </w:tcBorders>
            <w:vAlign w:val="center"/>
          </w:tcPr>
          <w:p>
            <w:pPr>
              <w:ind w:firstLine="330" w:firstLineChars="150"/>
              <w:rPr>
                <w:rFonts w:ascii="宋体" w:hAnsi="宋体" w:cs="宋体"/>
                <w:color w:val="000000"/>
                <w:sz w:val="22"/>
              </w:rPr>
            </w:pPr>
            <w:r>
              <w:rPr>
                <w:rFonts w:hint="eastAsia" w:ascii="宋体" w:hAnsi="宋体" w:cs="宋体"/>
                <w:color w:val="000000"/>
                <w:sz w:val="22"/>
              </w:rPr>
              <w:t>2mm厚304不锈钢天沟</w:t>
            </w:r>
          </w:p>
          <w:p>
            <w:pPr>
              <w:ind w:firstLine="773" w:firstLineChars="350"/>
              <w:rPr>
                <w:rFonts w:ascii="宋体" w:hAnsi="宋体" w:eastAsia="宋体" w:cs="宋体"/>
                <w:b/>
                <w:color w:val="000000"/>
                <w:kern w:val="2"/>
                <w:sz w:val="22"/>
              </w:rPr>
            </w:pPr>
            <w:r>
              <w:rPr>
                <w:rFonts w:hint="eastAsia" w:ascii="宋体" w:hAnsi="宋体" w:cs="宋体"/>
                <w:b/>
                <w:color w:val="000000"/>
                <w:sz w:val="22"/>
              </w:rPr>
              <w:t>展宽1500mm</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496.92</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18"/>
                <w:szCs w:val="18"/>
              </w:rPr>
            </w:pPr>
            <w:r>
              <w:rPr>
                <w:rFonts w:hint="eastAsia"/>
                <w:sz w:val="18"/>
                <w:szCs w:val="18"/>
              </w:rPr>
              <w:t>含屋面天沟支撑（L30*30*3约200米）等附件</w:t>
            </w: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6</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雨棚外板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0.5mm彩钢（白灰）</w:t>
            </w:r>
          </w:p>
          <w:p>
            <w:pPr>
              <w:ind w:left="660" w:leftChars="200" w:hanging="240" w:hangingChars="100"/>
              <w:rPr>
                <w:rFonts w:ascii="宋体" w:hAnsi="宋体" w:cs="宋体"/>
                <w:sz w:val="24"/>
              </w:rPr>
            </w:pPr>
            <w:r>
              <w:rPr>
                <w:rFonts w:hint="eastAsia" w:ascii="宋体" w:hAnsi="宋体" w:cs="宋体"/>
                <w:sz w:val="24"/>
              </w:rPr>
              <w:t>(HDP,20/5,AZ80g)</w:t>
            </w:r>
            <w:r>
              <w:rPr>
                <w:rFonts w:ascii="宋体" w:hAnsi="宋体" w:cs="宋体"/>
                <w:sz w:val="24"/>
              </w:rPr>
              <w:t xml:space="preserve"> </w:t>
            </w:r>
          </w:p>
          <w:p>
            <w:pPr>
              <w:ind w:left="630" w:leftChars="300"/>
              <w:rPr>
                <w:rFonts w:ascii="宋体" w:hAnsi="宋体" w:cs="宋体"/>
                <w:sz w:val="24"/>
              </w:rPr>
            </w:pPr>
          </w:p>
          <w:p>
            <w:pPr>
              <w:rPr>
                <w:rFonts w:ascii="宋体" w:hAnsi="宋体" w:eastAsia="宋体" w:cs="宋体"/>
                <w:b/>
                <w:kern w:val="2"/>
                <w:sz w:val="24"/>
              </w:rPr>
            </w:pPr>
            <w:r>
              <w:rPr>
                <w:rFonts w:ascii="宋体" w:hAnsi="宋体" w:cs="宋体"/>
                <w:b/>
                <w:sz w:val="24"/>
              </w:rPr>
              <w:t>YX</w:t>
            </w:r>
            <w:r>
              <w:rPr>
                <w:rFonts w:hint="eastAsia" w:ascii="宋体" w:hAnsi="宋体" w:cs="宋体"/>
                <w:b/>
                <w:sz w:val="24"/>
              </w:rPr>
              <w:t>2</w:t>
            </w:r>
            <w:r>
              <w:rPr>
                <w:rFonts w:ascii="宋体" w:hAnsi="宋体" w:cs="宋体"/>
                <w:b/>
                <w:sz w:val="24"/>
              </w:rPr>
              <w:t>5-2</w:t>
            </w:r>
            <w:r>
              <w:rPr>
                <w:rFonts w:hint="eastAsia" w:ascii="宋体" w:hAnsi="宋体" w:cs="宋体"/>
                <w:b/>
                <w:sz w:val="24"/>
              </w:rPr>
              <w:t>10</w:t>
            </w:r>
            <w:r>
              <w:rPr>
                <w:rFonts w:ascii="宋体" w:hAnsi="宋体" w:cs="宋体"/>
                <w:b/>
                <w:sz w:val="24"/>
              </w:rPr>
              <w:t>-</w:t>
            </w:r>
            <w:r>
              <w:rPr>
                <w:rFonts w:hint="eastAsia" w:ascii="宋体" w:hAnsi="宋体" w:cs="宋体"/>
                <w:b/>
                <w:sz w:val="24"/>
              </w:rPr>
              <w:t>840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79.0325</w:t>
            </w:r>
          </w:p>
        </w:tc>
        <w:tc>
          <w:tcPr>
            <w:tcW w:w="0" w:type="auto"/>
            <w:tcBorders>
              <w:top w:val="nil"/>
              <w:left w:val="nil"/>
              <w:bottom w:val="single" w:color="auto" w:sz="4" w:space="0"/>
              <w:right w:val="single" w:color="auto" w:sz="4" w:space="0"/>
            </w:tcBorders>
            <w:vAlign w:val="center"/>
          </w:tcPr>
          <w:p>
            <w:pPr>
              <w:rPr>
                <w:rFonts w:ascii="宋体" w:hAnsi="宋体" w:eastAsia="宋体" w:cs="宋体"/>
                <w:kern w:val="2"/>
                <w:sz w:val="18"/>
                <w:szCs w:val="18"/>
              </w:rPr>
            </w:pPr>
            <w:r>
              <w:rPr>
                <w:rFonts w:hint="eastAsia"/>
                <w:sz w:val="18"/>
                <w:szCs w:val="18"/>
              </w:rPr>
              <w:t>采用0.5mm厚自清洁免维护板，白灰，基板镀铝锌含量不小于80g/㎡，外表面高耐候HDP涂层≥20um，内表面PE涂层≥5um。含雨棚外板收边件、50mm厚玻璃丝绵卷毡（12kg/m³）及含钉胶等辅材（结构胶保质期10年以上）。</w:t>
            </w: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7</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雨棚内板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0.5mm彩钢（白灰）</w:t>
            </w:r>
          </w:p>
          <w:p>
            <w:pPr>
              <w:ind w:left="540" w:leftChars="200" w:hanging="120" w:hangingChars="50"/>
              <w:rPr>
                <w:rFonts w:ascii="宋体" w:hAnsi="宋体" w:cs="宋体"/>
                <w:sz w:val="24"/>
              </w:rPr>
            </w:pPr>
            <w:r>
              <w:rPr>
                <w:rFonts w:hint="eastAsia" w:ascii="宋体" w:hAnsi="宋体" w:cs="宋体"/>
                <w:sz w:val="24"/>
              </w:rPr>
              <w:t>(HDP,20/5,AZ80g)</w:t>
            </w:r>
            <w:r>
              <w:rPr>
                <w:rFonts w:ascii="宋体" w:hAnsi="宋体" w:cs="宋体"/>
                <w:sz w:val="24"/>
              </w:rPr>
              <w:t xml:space="preserve"> </w:t>
            </w:r>
          </w:p>
          <w:p>
            <w:pPr>
              <w:ind w:left="525" w:leftChars="250" w:firstLine="120" w:firstLineChars="50"/>
              <w:rPr>
                <w:rFonts w:ascii="宋体" w:hAnsi="宋体" w:cs="宋体"/>
                <w:sz w:val="24"/>
              </w:rPr>
            </w:pPr>
          </w:p>
          <w:p>
            <w:pPr>
              <w:rPr>
                <w:rFonts w:ascii="宋体" w:hAnsi="宋体" w:eastAsia="宋体" w:cs="宋体"/>
                <w:b/>
                <w:kern w:val="2"/>
                <w:sz w:val="24"/>
              </w:rPr>
            </w:pPr>
            <w:r>
              <w:rPr>
                <w:rFonts w:ascii="宋体" w:hAnsi="宋体" w:cs="宋体"/>
                <w:b/>
                <w:sz w:val="24"/>
              </w:rPr>
              <w:t>YX15-225-900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39.8445</w:t>
            </w:r>
          </w:p>
        </w:tc>
        <w:tc>
          <w:tcPr>
            <w:tcW w:w="0" w:type="auto"/>
            <w:tcBorders>
              <w:top w:val="nil"/>
              <w:left w:val="nil"/>
              <w:bottom w:val="single" w:color="auto" w:sz="4" w:space="0"/>
              <w:right w:val="single" w:color="auto" w:sz="4" w:space="0"/>
            </w:tcBorders>
            <w:vAlign w:val="center"/>
          </w:tcPr>
          <w:p>
            <w:pPr>
              <w:rPr>
                <w:rFonts w:ascii="宋体" w:hAnsi="宋体" w:eastAsia="宋体" w:cs="宋体"/>
                <w:kern w:val="2"/>
                <w:sz w:val="18"/>
                <w:szCs w:val="18"/>
              </w:rPr>
            </w:pPr>
            <w:r>
              <w:rPr>
                <w:rFonts w:hint="eastAsia"/>
                <w:sz w:val="18"/>
                <w:szCs w:val="18"/>
              </w:rPr>
              <w:t>采用0.5mm厚自清洁免维护板，白灰，基板镀铝锌含量不小于80g/㎡，外表面高耐候HDP涂层≥20um，内表面PE涂层≥5um。含钉胶等辅材（结构胶保质期10年以上）。</w:t>
            </w: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8</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雨棚天沟</w:t>
            </w:r>
          </w:p>
        </w:tc>
        <w:tc>
          <w:tcPr>
            <w:tcW w:w="0" w:type="auto"/>
            <w:tcBorders>
              <w:top w:val="single" w:color="auto" w:sz="4" w:space="0"/>
              <w:left w:val="nil"/>
              <w:bottom w:val="single" w:color="auto" w:sz="4" w:space="0"/>
              <w:right w:val="single" w:color="auto" w:sz="4" w:space="0"/>
            </w:tcBorders>
            <w:vAlign w:val="center"/>
          </w:tcPr>
          <w:p>
            <w:pPr>
              <w:ind w:firstLine="330" w:firstLineChars="150"/>
              <w:rPr>
                <w:rFonts w:ascii="宋体" w:hAnsi="宋体" w:cs="宋体"/>
                <w:color w:val="000000"/>
                <w:sz w:val="22"/>
              </w:rPr>
            </w:pPr>
            <w:r>
              <w:rPr>
                <w:rFonts w:hint="eastAsia" w:ascii="宋体" w:hAnsi="宋体" w:cs="宋体"/>
                <w:color w:val="000000"/>
                <w:sz w:val="22"/>
              </w:rPr>
              <w:t>2mm厚304不锈钢天沟</w:t>
            </w:r>
          </w:p>
          <w:p>
            <w:pPr>
              <w:jc w:val="center"/>
              <w:rPr>
                <w:rFonts w:ascii="宋体" w:hAnsi="宋体" w:eastAsia="宋体" w:cs="宋体"/>
                <w:b/>
                <w:kern w:val="2"/>
                <w:sz w:val="24"/>
              </w:rPr>
            </w:pPr>
            <w:r>
              <w:rPr>
                <w:rFonts w:hint="eastAsia" w:ascii="宋体" w:hAnsi="宋体" w:cs="宋体"/>
                <w:b/>
                <w:color w:val="000000"/>
                <w:sz w:val="22"/>
              </w:rPr>
              <w:t>展宽1332mm</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461.4185</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b/>
                <w:kern w:val="0"/>
                <w:sz w:val="24"/>
              </w:rPr>
            </w:pPr>
          </w:p>
        </w:tc>
        <w:tc>
          <w:tcPr>
            <w:tcW w:w="0" w:type="auto"/>
            <w:tcBorders>
              <w:top w:val="nil"/>
              <w:left w:val="nil"/>
              <w:bottom w:val="single" w:color="auto" w:sz="4" w:space="0"/>
              <w:right w:val="single" w:color="auto" w:sz="4" w:space="0"/>
            </w:tcBorders>
            <w:vAlign w:val="center"/>
          </w:tcPr>
          <w:p>
            <w:pPr>
              <w:widowControl/>
              <w:spacing w:line="240" w:lineRule="atLeast"/>
              <w:jc w:val="left"/>
              <w:rPr>
                <w:rFonts w:ascii="仿宋" w:hAnsi="仿宋" w:eastAsia="仿宋" w:cs="仿宋"/>
                <w:b/>
                <w:kern w:val="0"/>
                <w:sz w:val="24"/>
              </w:rPr>
            </w:pPr>
            <w:r>
              <w:rPr>
                <w:rFonts w:hint="eastAsia" w:ascii="仿宋" w:hAnsi="仿宋" w:eastAsia="仿宋" w:cs="仿宋"/>
                <w:b/>
                <w:kern w:val="0"/>
                <w:sz w:val="24"/>
              </w:rPr>
              <w:t>总计</w:t>
            </w:r>
          </w:p>
        </w:tc>
        <w:tc>
          <w:tcPr>
            <w:tcW w:w="0" w:type="auto"/>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rPr>
            </w:pPr>
          </w:p>
        </w:tc>
        <w:tc>
          <w:tcPr>
            <w:tcW w:w="0" w:type="auto"/>
            <w:tcBorders>
              <w:top w:val="nil"/>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sz w:val="24"/>
              </w:rPr>
            </w:pPr>
          </w:p>
        </w:tc>
        <w:tc>
          <w:tcPr>
            <w:tcW w:w="0" w:type="auto"/>
            <w:tcBorders>
              <w:top w:val="nil"/>
              <w:left w:val="nil"/>
              <w:bottom w:val="single" w:color="auto" w:sz="4" w:space="0"/>
              <w:right w:val="single" w:color="auto" w:sz="4" w:space="0"/>
            </w:tcBorders>
            <w:vAlign w:val="center"/>
          </w:tcPr>
          <w:p>
            <w:pPr>
              <w:spacing w:line="240" w:lineRule="atLeast"/>
              <w:ind w:left="-105" w:leftChars="-50" w:right="-105" w:rightChars="-50"/>
              <w:jc w:val="center"/>
              <w:rPr>
                <w:rFonts w:ascii="仿宋" w:hAnsi="仿宋" w:eastAsia="仿宋" w:cs="仿宋"/>
                <w:b/>
                <w:sz w:val="24"/>
              </w:rPr>
            </w:pP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numPr>
          <w:ilvl w:val="0"/>
          <w:numId w:val="1"/>
        </w:numPr>
        <w:spacing w:line="360" w:lineRule="auto"/>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产品质量：</w:t>
      </w:r>
      <w:r>
        <w:rPr>
          <w:rFonts w:hint="eastAsia" w:ascii="仿宋_GB2312" w:hAnsi="仿宋_GB2312" w:eastAsia="仿宋_GB2312" w:cs="仿宋_GB2312"/>
          <w:kern w:val="2"/>
          <w:sz w:val="32"/>
          <w:szCs w:val="32"/>
          <w:lang w:val="en-US" w:eastAsia="zh-CN" w:bidi="ar-SA"/>
        </w:rPr>
        <w:t>外墙板、屋顶板及天沟等的品种、规格、型号和质量，必须符合图纸要求及有关标准的规定，且提供合格的质保书，应在交货之日起三个工作日（不含交货当日）内向甲方提交盖有乙方印章的质保书复印件。必要时，乙方还应提供其它相关的质量技术资料（包括但不限于：钢材的质量、品牌商标、规格、型号、标识、生产厂家、质量保证书、生产许可证等文件）。</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正规厂家，须由乙方提供厂家资料，经甲方项目部申报业主同意方能供应，否则造成的损失由乙方承担。</w:t>
      </w: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7"/>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7"/>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7"/>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5"/>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26048"/>
      <w:bookmarkStart w:id="8" w:name="_Toc7659"/>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5"/>
        <w:numPr>
          <w:ilvl w:val="0"/>
          <w:numId w:val="3"/>
        </w:numPr>
        <w:jc w:val="center"/>
        <w:rPr>
          <w:rFonts w:hint="eastAsia"/>
          <w:lang w:val="en-US" w:eastAsia="zh-CN"/>
        </w:rPr>
      </w:pPr>
      <w:r>
        <w:rPr>
          <w:rFonts w:hint="eastAsia"/>
          <w:lang w:val="en-US" w:eastAsia="zh-CN"/>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293"/>
        <w:gridCol w:w="3226"/>
        <w:gridCol w:w="2760"/>
        <w:gridCol w:w="322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0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97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4"/>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4"/>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3"/>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eastAsia" w:ascii="仿宋" w:hAnsi="仿宋" w:eastAsia="仿宋" w:cs="仿宋"/>
          <w:sz w:val="24"/>
          <w:highlight w:val="none"/>
        </w:rPr>
      </w:pPr>
      <w:r>
        <w:rPr>
          <w:rFonts w:hint="eastAsia" w:ascii="仿宋" w:hAnsi="仿宋" w:eastAsia="仿宋" w:cs="仿宋"/>
          <w:i w:val="0"/>
          <w:iCs/>
          <w:sz w:val="24"/>
          <w:highlight w:val="none"/>
          <w:lang w:val="en-US" w:eastAsia="zh-CN"/>
        </w:rPr>
        <w:t xml:space="preserve">  </w:t>
      </w: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5"/>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6"/>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5"/>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6"/>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3"/>
        <w:rPr>
          <w:rFonts w:hint="default"/>
          <w:lang w:val="en-US" w:eastAsia="zh-CN"/>
        </w:rPr>
      </w:pPr>
    </w:p>
    <w:p>
      <w:pPr>
        <w:pStyle w:val="10"/>
        <w:widowControl/>
        <w:spacing w:before="75" w:beforeAutospacing="0" w:after="75" w:afterAutospacing="0" w:line="435" w:lineRule="atLeast"/>
        <w:jc w:val="center"/>
      </w:pPr>
      <w:r>
        <w:rPr>
          <w:rStyle w:val="14"/>
          <w:rFonts w:hint="eastAsia" w:ascii="宋体" w:hAnsi="宋体" w:eastAsia="宋体" w:cs="宋体"/>
          <w:sz w:val="43"/>
          <w:szCs w:val="43"/>
          <w:lang w:val="en-US" w:eastAsia="zh-CN"/>
        </w:rPr>
        <w:t>承诺</w:t>
      </w:r>
      <w:r>
        <w:rPr>
          <w:rStyle w:val="14"/>
        </w:rPr>
        <w:t> </w:t>
      </w:r>
      <w:r>
        <w:rPr>
          <w:rStyle w:val="14"/>
          <w:rFonts w:hint="eastAsia" w:ascii="宋体" w:hAnsi="宋体" w:eastAsia="宋体" w:cs="宋体"/>
          <w:sz w:val="43"/>
          <w:szCs w:val="43"/>
        </w:rPr>
        <w:t>函</w:t>
      </w:r>
    </w:p>
    <w:p>
      <w:pPr>
        <w:pStyle w:val="10"/>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0"/>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《GKGYLGG202303004》号业务批量彩板采购项目采购询价文件</w:t>
      </w:r>
      <w:r>
        <w:rPr>
          <w:rFonts w:hint="eastAsia" w:ascii="宋体" w:hAnsi="宋体" w:eastAsia="宋体" w:cs="宋体"/>
          <w:color w:val="000000"/>
        </w:rPr>
        <w:t>。经研究决定，我公司在此郑重承诺：</w:t>
      </w:r>
    </w:p>
    <w:p>
      <w:pPr>
        <w:pStyle w:val="10"/>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0"/>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0"/>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0"/>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0"/>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0"/>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3"/>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1"/>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B5360820"/>
    <w:multiLevelType w:val="singleLevel"/>
    <w:tmpl w:val="B5360820"/>
    <w:lvl w:ilvl="0" w:tentative="0">
      <w:start w:val="2"/>
      <w:numFmt w:val="decimal"/>
      <w:suff w:val="nothing"/>
      <w:lvlText w:val="%1、"/>
      <w:lvlJc w:val="left"/>
    </w:lvl>
  </w:abstractNum>
  <w:abstractNum w:abstractNumId="2">
    <w:nsid w:val="208FE124"/>
    <w:multiLevelType w:val="singleLevel"/>
    <w:tmpl w:val="208FE124"/>
    <w:lvl w:ilvl="0" w:tentative="0">
      <w:start w:val="2"/>
      <w:numFmt w:val="chineseCounting"/>
      <w:suff w:val="nothing"/>
      <w:lvlText w:val="%1、"/>
      <w:lvlJc w:val="left"/>
      <w:rPr>
        <w:rFonts w:hint="eastAsia"/>
      </w:rPr>
    </w:lvl>
  </w:abstractNum>
  <w:abstractNum w:abstractNumId="3">
    <w:nsid w:val="57B8218A"/>
    <w:multiLevelType w:val="singleLevel"/>
    <w:tmpl w:val="57B8218A"/>
    <w:lvl w:ilvl="0" w:tentative="0">
      <w:start w:val="1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2616A43"/>
    <w:rsid w:val="046B111D"/>
    <w:rsid w:val="06C72BBB"/>
    <w:rsid w:val="07F4170D"/>
    <w:rsid w:val="080C00CE"/>
    <w:rsid w:val="0B542AE8"/>
    <w:rsid w:val="0C6A1D93"/>
    <w:rsid w:val="0E847FBF"/>
    <w:rsid w:val="11874654"/>
    <w:rsid w:val="12B958E2"/>
    <w:rsid w:val="164139E5"/>
    <w:rsid w:val="17F53EC6"/>
    <w:rsid w:val="1B6F5E48"/>
    <w:rsid w:val="1E22415F"/>
    <w:rsid w:val="28BB1D61"/>
    <w:rsid w:val="299D0814"/>
    <w:rsid w:val="2A4131F8"/>
    <w:rsid w:val="2B00193E"/>
    <w:rsid w:val="305043F7"/>
    <w:rsid w:val="37313C4F"/>
    <w:rsid w:val="38903BC1"/>
    <w:rsid w:val="39600FDE"/>
    <w:rsid w:val="39B065A9"/>
    <w:rsid w:val="3AAF3ADA"/>
    <w:rsid w:val="3DF801FB"/>
    <w:rsid w:val="3E9837AF"/>
    <w:rsid w:val="3FD85478"/>
    <w:rsid w:val="44E65F41"/>
    <w:rsid w:val="45002AD2"/>
    <w:rsid w:val="49135B7C"/>
    <w:rsid w:val="494F6C44"/>
    <w:rsid w:val="499D562B"/>
    <w:rsid w:val="4D043E09"/>
    <w:rsid w:val="4E2E2985"/>
    <w:rsid w:val="52495C20"/>
    <w:rsid w:val="52A4495F"/>
    <w:rsid w:val="53C02B2C"/>
    <w:rsid w:val="547D645D"/>
    <w:rsid w:val="55E74944"/>
    <w:rsid w:val="571C7114"/>
    <w:rsid w:val="5A6F3841"/>
    <w:rsid w:val="5B632A20"/>
    <w:rsid w:val="5B9261AF"/>
    <w:rsid w:val="615F2C84"/>
    <w:rsid w:val="62571BBC"/>
    <w:rsid w:val="687E455F"/>
    <w:rsid w:val="6919779A"/>
    <w:rsid w:val="69C810EB"/>
    <w:rsid w:val="6BE323F6"/>
    <w:rsid w:val="6C745D41"/>
    <w:rsid w:val="6F196B4B"/>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opLinePunct/>
      <w:adjustRightInd w:val="0"/>
      <w:spacing w:line="530" w:lineRule="exact"/>
      <w:ind w:firstLine="420" w:firstLineChars="100"/>
      <w:textAlignment w:val="baseline"/>
    </w:pPr>
    <w:rPr>
      <w:kern w:val="0"/>
      <w:sz w:val="30"/>
      <w:szCs w:val="20"/>
    </w:rPr>
  </w:style>
  <w:style w:type="paragraph" w:styleId="3">
    <w:name w:val="Body Text"/>
    <w:basedOn w:val="1"/>
    <w:next w:val="1"/>
    <w:qFormat/>
    <w:uiPriority w:val="0"/>
    <w:pPr>
      <w:spacing w:after="120" w:afterLines="0"/>
    </w:pPr>
  </w:style>
  <w:style w:type="paragraph" w:styleId="6">
    <w:name w:val="Normal Indent"/>
    <w:basedOn w:val="1"/>
    <w:next w:val="1"/>
    <w:qFormat/>
    <w:uiPriority w:val="0"/>
    <w:pPr>
      <w:ind w:firstLine="420"/>
    </w:p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1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3759</Words>
  <Characters>4244</Characters>
  <Lines>21</Lines>
  <Paragraphs>6</Paragraphs>
  <TotalTime>1</TotalTime>
  <ScaleCrop>false</ScaleCrop>
  <LinksUpToDate>false</LinksUpToDate>
  <CharactersWithSpaces>5258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2023-01-04T03:13:00Z</cp:lastPrinted>
  <dcterms:modified xsi:type="dcterms:W3CDTF">2023-04-12T03:49:20Z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3167E883CA2948C1B3AE0A0E06503093_13</vt:lpwstr>
  </property>
</Properties>
</file>