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《GKGYLGG202303006》号业务批量钢材采购项目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四</w:t>
      </w:r>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《GKGYLGG202303006》号业务批量钢材采购项目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bookmarkStart w:id="13" w:name="_GoBack"/>
            <w:bookmarkEnd w:id="13"/>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0" w:type="auto"/>
        <w:jc w:val="center"/>
        <w:tblLayout w:type="autofit"/>
        <w:tblCellMar>
          <w:top w:w="0" w:type="dxa"/>
          <w:left w:w="108" w:type="dxa"/>
          <w:bottom w:w="0" w:type="dxa"/>
          <w:right w:w="108" w:type="dxa"/>
        </w:tblCellMar>
      </w:tblPr>
      <w:tblGrid>
        <w:gridCol w:w="696"/>
        <w:gridCol w:w="1896"/>
        <w:gridCol w:w="2856"/>
        <w:gridCol w:w="1896"/>
        <w:gridCol w:w="1116"/>
      </w:tblGrid>
      <w:tr>
        <w:tblPrEx>
          <w:tblCellMar>
            <w:top w:w="0" w:type="dxa"/>
            <w:left w:w="108" w:type="dxa"/>
            <w:bottom w:w="0" w:type="dxa"/>
            <w:right w:w="108" w:type="dxa"/>
          </w:tblCellMar>
        </w:tblPrEx>
        <w:trPr>
          <w:trHeight w:val="11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材料名称</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 w:hAnsi="仿宋" w:eastAsia="仿宋" w:cs="仿宋"/>
                <w:kern w:val="0"/>
                <w:sz w:val="24"/>
                <w:lang w:eastAsia="zh-CN"/>
              </w:rPr>
            </w:pPr>
            <w:r>
              <w:rPr>
                <w:rFonts w:hint="eastAsia" w:ascii="仿宋" w:hAnsi="仿宋" w:eastAsia="仿宋" w:cs="仿宋"/>
                <w:kern w:val="0"/>
                <w:sz w:val="24"/>
              </w:rPr>
              <w:t>综合单价</w:t>
            </w:r>
            <w:r>
              <w:rPr>
                <w:rFonts w:hint="eastAsia" w:ascii="仿宋" w:hAnsi="仿宋" w:eastAsia="仿宋" w:cs="仿宋"/>
                <w:kern w:val="0"/>
                <w:sz w:val="24"/>
                <w:lang w:eastAsia="zh-CN"/>
              </w:rPr>
              <w:t>（元）</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trHeight w:val="566"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1</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4807.6</w:t>
            </w:r>
          </w:p>
        </w:tc>
        <w:tc>
          <w:tcPr>
            <w:tcW w:w="0" w:type="auto"/>
            <w:tcBorders>
              <w:top w:val="nil"/>
              <w:left w:val="nil"/>
              <w:bottom w:val="single" w:color="auto" w:sz="4" w:space="0"/>
              <w:right w:val="single" w:color="auto" w:sz="4" w:space="0"/>
            </w:tcBorders>
            <w:vAlign w:val="top"/>
          </w:tcPr>
          <w:p>
            <w:pPr>
              <w:spacing w:line="360" w:lineRule="auto"/>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2</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4848</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3</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8</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4807.6</w:t>
            </w:r>
          </w:p>
        </w:tc>
        <w:tc>
          <w:tcPr>
            <w:tcW w:w="0" w:type="auto"/>
            <w:tcBorders>
              <w:top w:val="nil"/>
              <w:left w:val="nil"/>
              <w:bottom w:val="single" w:color="auto" w:sz="4" w:space="0"/>
              <w:right w:val="single" w:color="auto" w:sz="4" w:space="0"/>
            </w:tcBorders>
            <w:vAlign w:val="top"/>
          </w:tcPr>
          <w:p>
            <w:pPr>
              <w:spacing w:line="360" w:lineRule="auto"/>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4</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8</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4848</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5</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10</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4807.6</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6</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10</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4848</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7</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12</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4807.6</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8</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12</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4848</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9</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14</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4878.3</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10</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4878.3</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11</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4898.5</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12</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4898.5</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13</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4898.5</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14</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4898.5</w:t>
            </w:r>
          </w:p>
        </w:tc>
        <w:tc>
          <w:tcPr>
            <w:tcW w:w="0" w:type="auto"/>
            <w:tcBorders>
              <w:top w:val="nil"/>
              <w:left w:val="nil"/>
              <w:bottom w:val="single" w:color="auto" w:sz="4" w:space="0"/>
              <w:right w:val="single" w:color="auto"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2.5米宽</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15</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16</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28</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4979.3</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17</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30</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4979.3</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18</w:t>
            </w:r>
          </w:p>
        </w:tc>
        <w:tc>
          <w:tcPr>
            <w:tcW w:w="0" w:type="auto"/>
            <w:tcBorders>
              <w:top w:val="nil"/>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HN250*125*6*9</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4454.1</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19</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高频焊接H型钢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H300*150*3.2*4.5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5443.9</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20</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eastAsia="zh-CN"/>
              </w:rPr>
              <w:t>□</w:t>
            </w:r>
            <w:r>
              <w:rPr>
                <w:rFonts w:hint="eastAsia" w:ascii="仿宋_GB2312" w:eastAsia="仿宋_GB2312"/>
                <w:sz w:val="24"/>
              </w:rPr>
              <w:t>250*150*4</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5494.4</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21</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Q355B,□250*</w:t>
            </w:r>
            <w:r>
              <w:rPr>
                <w:rFonts w:hint="eastAsia" w:ascii="仿宋_GB2312" w:eastAsia="仿宋_GB2312"/>
                <w:sz w:val="24"/>
                <w:lang w:val="en-US" w:eastAsia="zh-CN"/>
              </w:rPr>
              <w:t>250*8</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5494.4</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150*150*4</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5292.4</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23</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C型钢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C250*75*20*2.5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5575.2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24</w:t>
            </w:r>
          </w:p>
        </w:tc>
        <w:tc>
          <w:tcPr>
            <w:tcW w:w="0" w:type="auto"/>
            <w:tcBorders>
              <w:top w:val="nil"/>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不等边角钢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L110*70*6</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25</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不等边角钢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L63*40*4</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4858.1</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26</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L75*5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4585.4</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27</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L63*5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4928.8</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28</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L50*5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4928.8</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29</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Q235B,φ180*5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30</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Q235B,φ1</w:t>
            </w:r>
            <w:r>
              <w:rPr>
                <w:rFonts w:hint="eastAsia" w:ascii="仿宋_GB2312" w:eastAsia="仿宋_GB2312"/>
                <w:sz w:val="24"/>
                <w:lang w:val="en-US" w:eastAsia="zh-CN"/>
              </w:rPr>
              <w:t>02*3</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31</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159*8</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32</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121*5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33</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114*4</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34</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32*2.5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35</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12</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4918.7</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36</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22</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4666.2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37</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25</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4666.2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38</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Q355B,[20a</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5272.2</w:t>
            </w:r>
          </w:p>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5070.2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39</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30</w:t>
            </w:r>
            <w:r>
              <w:rPr>
                <w:rFonts w:hint="eastAsia" w:ascii="仿宋_GB2312" w:eastAsia="仿宋_GB2312"/>
                <w:sz w:val="24"/>
              </w:rPr>
              <w:t>a</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5302.5</w:t>
            </w:r>
          </w:p>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588" w:hRule="atLeast"/>
          <w:jc w:val="center"/>
        </w:trPr>
        <w:tc>
          <w:tcPr>
            <w:tcW w:w="0" w:type="auto"/>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40</w:t>
            </w:r>
          </w:p>
        </w:tc>
        <w:tc>
          <w:tcPr>
            <w:tcW w:w="0" w:type="auto"/>
            <w:tcBorders>
              <w:top w:val="nil"/>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Q235B,[2</w:t>
            </w:r>
            <w:r>
              <w:rPr>
                <w:rFonts w:hint="eastAsia" w:ascii="仿宋_GB2312" w:eastAsia="仿宋_GB2312"/>
                <w:sz w:val="24"/>
                <w:lang w:val="en-US" w:eastAsia="zh-CN"/>
              </w:rPr>
              <w:t>2</w:t>
            </w:r>
            <w:r>
              <w:rPr>
                <w:rFonts w:hint="eastAsia" w:ascii="仿宋_GB2312" w:eastAsia="仿宋_GB2312"/>
                <w:sz w:val="24"/>
              </w:rPr>
              <w:t>a</w:t>
            </w: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5070.2</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b/>
                <w:kern w:val="0"/>
                <w:sz w:val="24"/>
              </w:rPr>
            </w:pPr>
          </w:p>
        </w:tc>
        <w:tc>
          <w:tcPr>
            <w:tcW w:w="0" w:type="auto"/>
            <w:tcBorders>
              <w:top w:val="nil"/>
              <w:left w:val="nil"/>
              <w:bottom w:val="single" w:color="auto" w:sz="4" w:space="0"/>
              <w:right w:val="single" w:color="auto" w:sz="4" w:space="0"/>
            </w:tcBorders>
            <w:vAlign w:val="center"/>
          </w:tcPr>
          <w:p>
            <w:pPr>
              <w:widowControl/>
              <w:spacing w:line="240" w:lineRule="atLeast"/>
              <w:jc w:val="left"/>
              <w:rPr>
                <w:rFonts w:ascii="仿宋" w:hAnsi="仿宋" w:eastAsia="仿宋" w:cs="仿宋"/>
                <w:b/>
                <w:kern w:val="0"/>
                <w:sz w:val="24"/>
              </w:rPr>
            </w:pPr>
            <w:r>
              <w:rPr>
                <w:rFonts w:hint="eastAsia" w:ascii="仿宋" w:hAnsi="仿宋" w:eastAsia="仿宋" w:cs="仿宋"/>
                <w:b/>
                <w:kern w:val="0"/>
                <w:sz w:val="24"/>
              </w:rPr>
              <w:t>总计</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b/>
                <w:kern w:val="0"/>
                <w:sz w:val="24"/>
              </w:rPr>
            </w:pPr>
          </w:p>
        </w:tc>
        <w:tc>
          <w:tcPr>
            <w:tcW w:w="0" w:type="auto"/>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nil"/>
              <w:left w:val="nil"/>
              <w:bottom w:val="single" w:color="auto" w:sz="4" w:space="0"/>
              <w:right w:val="single" w:color="auto" w:sz="4" w:space="0"/>
            </w:tcBorders>
            <w:vAlign w:val="center"/>
          </w:tcPr>
          <w:p>
            <w:pPr>
              <w:spacing w:line="240" w:lineRule="atLeast"/>
              <w:ind w:left="-105" w:leftChars="-50" w:right="-105" w:rightChars="-50"/>
              <w:jc w:val="center"/>
              <w:rPr>
                <w:rFonts w:ascii="仿宋" w:hAnsi="仿宋" w:eastAsia="仿宋" w:cs="仿宋"/>
                <w:b/>
                <w:sz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按现行国家标准执行，应符合：钢板GB/T 709-2006，型钢GB/T 706-2008，低合金高强度结构钢GB/T 1591-2018、碳素结构钢GB/T 700-2006；应具有材证相符且有效的产品质量证明书、出厂检验报告。乙方交付材料时应随货附有生产厂家质保书，应在交货之日起三个工作日（不含交货当日）内向甲方提交盖有乙方印章的质保书复印件。必要时，乙方还应提供其它相关的质量技术资料（包括但不限于：钢材的质量、品牌商标、规格、型号、标识、生产厂家、质量保证书、生产许可证等文件）。。</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新钢、萍钢、马钢、莱钢、日照、鞍钢、津西、唐钢等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3"/>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《GKGYLGG202303006》号业务批量钢材采购项目采购询价文件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6F21AF1"/>
    <w:rsid w:val="172B6FEA"/>
    <w:rsid w:val="17F53EC6"/>
    <w:rsid w:val="1B6F5E48"/>
    <w:rsid w:val="1BC17E00"/>
    <w:rsid w:val="1E22415F"/>
    <w:rsid w:val="28BB1D61"/>
    <w:rsid w:val="299D0814"/>
    <w:rsid w:val="2A4131F8"/>
    <w:rsid w:val="2B00193E"/>
    <w:rsid w:val="305043F7"/>
    <w:rsid w:val="37313C4F"/>
    <w:rsid w:val="38903BC1"/>
    <w:rsid w:val="3AAF3ADA"/>
    <w:rsid w:val="3DF801FB"/>
    <w:rsid w:val="3E9837AF"/>
    <w:rsid w:val="3FD85478"/>
    <w:rsid w:val="44E65F41"/>
    <w:rsid w:val="45002AD2"/>
    <w:rsid w:val="49135B7C"/>
    <w:rsid w:val="494F6C44"/>
    <w:rsid w:val="499D562B"/>
    <w:rsid w:val="4D043E09"/>
    <w:rsid w:val="4E2E2985"/>
    <w:rsid w:val="52495C20"/>
    <w:rsid w:val="52A4495F"/>
    <w:rsid w:val="53C02B2C"/>
    <w:rsid w:val="5471620E"/>
    <w:rsid w:val="547D645D"/>
    <w:rsid w:val="571C7114"/>
    <w:rsid w:val="5A6F3841"/>
    <w:rsid w:val="5B632A20"/>
    <w:rsid w:val="5B9261AF"/>
    <w:rsid w:val="615F2C84"/>
    <w:rsid w:val="61DD704D"/>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3437</Words>
  <Characters>4238</Characters>
  <Lines>21</Lines>
  <Paragraphs>6</Paragraphs>
  <TotalTime>1</TotalTime>
  <ScaleCrop>false</ScaleCrop>
  <LinksUpToDate>false</LinksUpToDate>
  <CharactersWithSpaces>5263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2023-04-12T04:00:02Z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8A2D059387524F82A7A8FFFCC5CAF240_13</vt:lpwstr>
  </property>
</Properties>
</file>