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lang w:eastAsia="zh-CN"/>
        </w:rPr>
        <w:t>《</w:t>
      </w:r>
      <w:r>
        <w:rPr>
          <w:rFonts w:hint="eastAsia" w:ascii="宋体" w:hAnsi="宋体" w:cs="宋体"/>
          <w:bCs/>
          <w:sz w:val="52"/>
          <w:lang w:val="en-US" w:eastAsia="zh-CN"/>
        </w:rPr>
        <w:t>0403202200106011》号业务批量幕墙材料供应采购项目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二 </w:t>
      </w:r>
      <w:r>
        <w:rPr>
          <w:rFonts w:hint="eastAsia" w:ascii="宋体" w:hAnsi="宋体" w:cs="宋体"/>
          <w:sz w:val="32"/>
          <w:szCs w:val="32"/>
        </w:rPr>
        <w:t>年</w:t>
      </w:r>
      <w:r>
        <w:rPr>
          <w:rFonts w:hint="eastAsia" w:ascii="宋体" w:hAnsi="宋体" w:cs="宋体"/>
          <w:sz w:val="32"/>
          <w:szCs w:val="32"/>
          <w:lang w:val="en-US" w:eastAsia="zh-CN"/>
        </w:rPr>
        <w:t>八</w:t>
      </w:r>
      <w:r>
        <w:rPr>
          <w:rFonts w:hint="eastAsia" w:ascii="宋体" w:hAnsi="宋体" w:cs="宋体"/>
          <w:sz w:val="32"/>
          <w:szCs w:val="32"/>
        </w:rPr>
        <w:t>月</w:t>
      </w:r>
    </w:p>
    <w:p>
      <w:pPr>
        <w:pStyle w:val="3"/>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邱天</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13607983676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rPr>
                <w:rFonts w:ascii="宋体" w:hAnsi="宋体" w:cs="宋体"/>
                <w:color w:val="000000"/>
                <w:kern w:val="0"/>
                <w:sz w:val="24"/>
                <w:highlight w:val="yellow"/>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0403202200106011》号业务批量幕墙材料供应采购项目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请于2022年</w:t>
            </w:r>
            <w:r>
              <w:rPr>
                <w:rFonts w:hint="eastAsia" w:ascii="宋体" w:hAnsi="宋体" w:cs="宋体"/>
                <w:b w:val="0"/>
                <w:bCs w:val="0"/>
                <w:kern w:val="2"/>
                <w:sz w:val="21"/>
                <w:szCs w:val="24"/>
                <w:lang w:val="en-US" w:eastAsia="zh-CN" w:bidi="ar-SA"/>
              </w:rPr>
              <w:t>8</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16</w:t>
            </w:r>
            <w:r>
              <w:rPr>
                <w:rFonts w:hint="eastAsia" w:ascii="宋体" w:hAnsi="宋体" w:eastAsia="宋体" w:cs="宋体"/>
                <w:b w:val="0"/>
                <w:bCs w:val="0"/>
                <w:kern w:val="2"/>
                <w:sz w:val="21"/>
                <w:szCs w:val="24"/>
                <w:lang w:val="en-US" w:eastAsia="zh-CN" w:bidi="ar-SA"/>
              </w:rPr>
              <w:t>日至2022年</w:t>
            </w:r>
            <w:r>
              <w:rPr>
                <w:rFonts w:hint="eastAsia" w:ascii="宋体" w:hAnsi="宋体" w:cs="宋体"/>
                <w:b w:val="0"/>
                <w:bCs w:val="0"/>
                <w:kern w:val="2"/>
                <w:sz w:val="21"/>
                <w:szCs w:val="24"/>
                <w:lang w:val="en-US" w:eastAsia="zh-CN" w:bidi="ar-SA"/>
              </w:rPr>
              <w:t>8</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18</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4"/>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4"/>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2</w:t>
            </w:r>
            <w:r>
              <w:rPr>
                <w:rFonts w:hint="eastAsia" w:ascii="宋体" w:hAnsi="宋体" w:cs="宋体"/>
                <w:color w:val="000000"/>
                <w:kern w:val="0"/>
                <w:sz w:val="24"/>
              </w:rPr>
              <w:t>年</w:t>
            </w:r>
            <w:r>
              <w:rPr>
                <w:rFonts w:hint="eastAsia" w:ascii="宋体" w:hAnsi="宋体" w:cs="宋体"/>
                <w:color w:val="000000"/>
                <w:kern w:val="0"/>
                <w:sz w:val="24"/>
                <w:lang w:val="en-US" w:eastAsia="zh-CN"/>
              </w:rPr>
              <w:t>8</w:t>
            </w:r>
            <w:r>
              <w:rPr>
                <w:rFonts w:hint="eastAsia" w:ascii="宋体" w:hAnsi="宋体" w:cs="宋体"/>
                <w:color w:val="000000"/>
                <w:kern w:val="0"/>
                <w:sz w:val="24"/>
              </w:rPr>
              <w:t>月</w:t>
            </w:r>
            <w:r>
              <w:rPr>
                <w:rFonts w:hint="eastAsia" w:ascii="宋体" w:hAnsi="宋体" w:cs="宋体"/>
                <w:color w:val="000000"/>
                <w:kern w:val="0"/>
                <w:sz w:val="24"/>
                <w:lang w:val="en-US" w:eastAsia="zh-CN"/>
              </w:rPr>
              <w:t>19</w:t>
            </w:r>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10</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bookmarkStart w:id="13" w:name="_GoBack"/>
            <w:bookmarkEnd w:id="13"/>
            <w:r>
              <w:rPr>
                <w:rFonts w:hint="eastAsia" w:ascii="宋体" w:hAnsi="宋体" w:cs="宋体"/>
                <w:color w:val="000000"/>
                <w:kern w:val="0"/>
                <w:sz w:val="24"/>
              </w:rPr>
              <w:sym w:font="Wingdings 2" w:char="00A3"/>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lang w:eastAsia="zh-CN"/>
              </w:rPr>
              <w:sym w:font="Wingdings 2" w:char="0052"/>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报告所推荐的排序人（共推荐三名）确定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4"/>
      </w:pPr>
    </w:p>
    <w:p/>
    <w:p>
      <w:pPr>
        <w:pStyle w:val="4"/>
      </w:pPr>
    </w:p>
    <w:p/>
    <w:p>
      <w:pPr>
        <w:pStyle w:val="4"/>
      </w:pPr>
    </w:p>
    <w:p/>
    <w:p>
      <w:pPr>
        <w:pStyle w:val="4"/>
      </w:pPr>
    </w:p>
    <w:p/>
    <w:p>
      <w:pPr>
        <w:pStyle w:val="4"/>
      </w:pPr>
    </w:p>
    <w:p>
      <w:pPr>
        <w:pStyle w:val="3"/>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3"/>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p>
    <w:tbl>
      <w:tblPr>
        <w:tblStyle w:val="11"/>
        <w:tblpPr w:leftFromText="180" w:rightFromText="180" w:vertAnchor="text" w:horzAnchor="page" w:tblpX="1425" w:tblpY="877"/>
        <w:tblOverlap w:val="never"/>
        <w:tblW w:w="9327" w:type="dxa"/>
        <w:tblInd w:w="0" w:type="dxa"/>
        <w:tblLayout w:type="fixed"/>
        <w:tblCellMar>
          <w:top w:w="0" w:type="dxa"/>
          <w:left w:w="108" w:type="dxa"/>
          <w:bottom w:w="0" w:type="dxa"/>
          <w:right w:w="108" w:type="dxa"/>
        </w:tblCellMar>
      </w:tblPr>
      <w:tblGrid>
        <w:gridCol w:w="627"/>
        <w:gridCol w:w="774"/>
        <w:gridCol w:w="2088"/>
        <w:gridCol w:w="658"/>
        <w:gridCol w:w="1154"/>
        <w:gridCol w:w="1188"/>
        <w:gridCol w:w="704"/>
        <w:gridCol w:w="1269"/>
        <w:gridCol w:w="865"/>
      </w:tblGrid>
      <w:tr>
        <w:tblPrEx>
          <w:tblCellMar>
            <w:top w:w="0" w:type="dxa"/>
            <w:left w:w="108" w:type="dxa"/>
            <w:bottom w:w="0" w:type="dxa"/>
            <w:right w:w="108" w:type="dxa"/>
          </w:tblCellMar>
        </w:tblPrEx>
        <w:trPr>
          <w:trHeight w:val="1403"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color w:val="000000"/>
                <w:kern w:val="0"/>
                <w:sz w:val="22"/>
              </w:rPr>
              <w:t>序号</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color w:val="000000"/>
                <w:kern w:val="0"/>
                <w:sz w:val="22"/>
              </w:rPr>
              <w:t>项目名称</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color w:val="000000"/>
                <w:kern w:val="0"/>
                <w:sz w:val="22"/>
              </w:rPr>
              <w:t>项目名称及特征描述</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color w:val="000000"/>
                <w:kern w:val="0"/>
                <w:sz w:val="22"/>
              </w:rPr>
              <w:t>单位</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color w:val="000000"/>
                <w:kern w:val="0"/>
                <w:sz w:val="22"/>
              </w:rPr>
              <w:t>暂定工程量</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不含增值税单价（元）</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税率</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color w:val="000000"/>
                <w:kern w:val="0"/>
                <w:sz w:val="22"/>
              </w:rPr>
              <w:t>含税综合单价（元）</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color w:val="000000"/>
                <w:kern w:val="0"/>
                <w:sz w:val="22"/>
              </w:rPr>
              <w:t>备注</w:t>
            </w:r>
          </w:p>
        </w:tc>
      </w:tr>
      <w:tr>
        <w:tblPrEx>
          <w:tblCellMar>
            <w:top w:w="0" w:type="dxa"/>
            <w:left w:w="108" w:type="dxa"/>
            <w:bottom w:w="0" w:type="dxa"/>
            <w:right w:w="108" w:type="dxa"/>
          </w:tblCellMar>
        </w:tblPrEx>
        <w:trPr>
          <w:trHeight w:val="852"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color w:val="000000"/>
                <w:kern w:val="0"/>
                <w:sz w:val="18"/>
                <w:szCs w:val="18"/>
              </w:rPr>
              <w:t>1</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夹胶中空玻璃（原厂原片）8+1.52pvb+8双超白</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800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475.85</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537.71</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18"/>
                <w:szCs w:val="18"/>
              </w:rPr>
            </w:pPr>
          </w:p>
        </w:tc>
      </w:tr>
      <w:tr>
        <w:tblPrEx>
          <w:tblCellMar>
            <w:top w:w="0" w:type="dxa"/>
            <w:left w:w="108" w:type="dxa"/>
            <w:bottom w:w="0" w:type="dxa"/>
            <w:right w:w="108" w:type="dxa"/>
          </w:tblCellMar>
        </w:tblPrEx>
        <w:trPr>
          <w:trHeight w:val="102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中空夹胶玻璃（C类单片非隔热型防火，耐火极限1.5h）（原厂原片）8（超白)钢化双银Low-E+12A+6半钢化+1.52pvb+6铯钾防火</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663.85</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750.15</w:t>
            </w:r>
          </w:p>
        </w:tc>
        <w:tc>
          <w:tcPr>
            <w:tcW w:w="865" w:type="dxa"/>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913"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中空夹胶玻璃（原厂原片）8（超白）钢化双银Low-E+12A+6半钢化+1.52pvb+6半钢化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650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586.97</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663.28</w:t>
            </w:r>
          </w:p>
        </w:tc>
        <w:tc>
          <w:tcPr>
            <w:tcW w:w="865" w:type="dxa"/>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915"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夹胶中空玻璃（原厂原片）6半钢化+1.14pvb+6半钢化双银Low-E+12A+6（超白)钢化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450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499.13</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564.02</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989"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夹胶中空玻璃（弧形，半径＞3m，外凸，中轴对称）（原厂原片）6半钢化+2.28pvb+6半钢化双银Low-E+12A+6(超白)钢化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1150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879.93</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994.32</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93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夹胶中空玻璃（原厂原片）6半钢化+1.14pvb+6半钢化双银Low-E+12A+8（超白)钢化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750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541.32</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611.69</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683"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7</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夹胶中空玻璃（弧形，半径＞3m，外凸，中轴对称）（原厂原片）6半钢化+2.28pvb+6半钢化双银Low-E+12A+8（超白)钢化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700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937.74</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1059.65</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606"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中空玻璃（原厂原片）6(超白)钢化双银Low-E+12A+6(超白)钢化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650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334.86</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378.39</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652"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9</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中空玻璃（C类单片非隔热型防火，耐火极限1.5h）（原厂原片）6（超白）钢化双银Low-E+12A+6（内片防火）铯钾防火</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414.14</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467.98</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618"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10</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中空玻璃（C类单片非隔热型防火，耐火极限1.5h）（原厂原片）6（超白)钢化双银Low-E+12A+6(超白)(内片铯钾防火）</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700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453.04</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511.94</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115"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11</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夹胶中空玻璃（原厂原片）6半钢化+1.14pvb+6半钢化双银Low-E+12A+10(超白)钢化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588.92</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665.48</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28"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夹胶中空玻璃（弧形，半径＞3m，外凸，中轴对称）（原厂原片）6半钢化+2.28pvb+6半钢化双银Low-E+12A+10(超白)钢化夹胶中空玻璃（弧形，半径＞3m，外凸，中轴对称）</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800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1044.33</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1180.09</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28"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夹胶钢化玻璃（原厂原片）6+1.52pvb+6双超白</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700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396.87</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448.46</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28"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夹胶钢化玻璃（原厂原片）6（半钢化）+1.52PVB+6(半钢化)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900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329.15</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371.94</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夹胶中空玻璃（原厂原片）6（超白）钢化双银LOW-E+12A+6（半钢化）+1.52PVB+6(半钢化)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538.02</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607.96</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17</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内片防火铯钾防火中空玻璃（C类单片非隔热型防火，耐火极限1.5h）（原厂原片）6（超白）钢化LOW-E+12A+6（半钢化）+1.52PVB+6(半钢化)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550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640.88</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724.19</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幕墙玻璃</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全超白夹胶中空玻璃（原厂原片）12半钢化+1.52PVB+12半钢化双银Low-E+12A+12钢化</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868</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1086.34</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1227.56</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19</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铝板</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2.5MM厚三涂二烤铝单板</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5000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339.64</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383.79</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20</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铝板</w:t>
            </w:r>
          </w:p>
        </w:tc>
        <w:tc>
          <w:tcPr>
            <w:tcW w:w="2088" w:type="dxa"/>
            <w:tcBorders>
              <w:top w:val="single" w:color="000000" w:sz="4" w:space="0"/>
              <w:left w:val="single" w:color="000000" w:sz="4" w:space="0"/>
              <w:bottom w:val="single" w:color="000000" w:sz="4" w:space="0"/>
              <w:right w:val="single" w:color="000000" w:sz="4" w:space="0"/>
            </w:tcBorders>
            <w:vAlign w:val="center"/>
          </w:tcPr>
          <w:p>
            <w:pPr>
              <w:tabs>
                <w:tab w:val="left" w:pos="307"/>
                <w:tab w:val="center" w:pos="515"/>
              </w:tabs>
              <w:jc w:val="center"/>
              <w:rPr>
                <w:rFonts w:ascii="仿宋" w:hAnsi="仿宋" w:eastAsia="仿宋" w:cs="仿宋"/>
                <w:color w:val="000000"/>
                <w:kern w:val="0"/>
                <w:sz w:val="22"/>
              </w:rPr>
            </w:pPr>
            <w:r>
              <w:rPr>
                <w:rFonts w:hint="eastAsia" w:ascii="仿宋" w:hAnsi="仿宋" w:eastAsia="仿宋" w:cs="仿宋"/>
                <w:color w:val="000000"/>
                <w:kern w:val="0"/>
                <w:sz w:val="22"/>
              </w:rPr>
              <w:t>2.5MM厚三涂二烤铝单2.5mm浅灰色</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5000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353.06</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398.96</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21</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铝板</w:t>
            </w:r>
          </w:p>
        </w:tc>
        <w:tc>
          <w:tcPr>
            <w:tcW w:w="20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2.5MM厚三涂二烤铝单板2.5mm白色</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3000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353.06</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398.96</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22</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铝板</w:t>
            </w:r>
          </w:p>
        </w:tc>
        <w:tc>
          <w:tcPr>
            <w:tcW w:w="20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2.5MM厚三涂二烤铝单板2.5mm深灰色（广告位）</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2000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353.06</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398.96</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23</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铝板</w:t>
            </w:r>
          </w:p>
        </w:tc>
        <w:tc>
          <w:tcPr>
            <w:tcW w:w="20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2.5MM厚三涂二烤铝单板2.5mm浅灰色穿孔板</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2000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357.52</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404.00</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24</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铝板</w:t>
            </w:r>
          </w:p>
        </w:tc>
        <w:tc>
          <w:tcPr>
            <w:tcW w:w="2088" w:type="dxa"/>
            <w:tcBorders>
              <w:top w:val="single" w:color="000000" w:sz="4" w:space="0"/>
              <w:left w:val="single" w:color="000000" w:sz="4" w:space="0"/>
              <w:bottom w:val="single" w:color="000000" w:sz="4" w:space="0"/>
              <w:right w:val="single" w:color="000000" w:sz="4" w:space="0"/>
            </w:tcBorders>
            <w:vAlign w:val="center"/>
          </w:tcPr>
          <w:p>
            <w:pPr>
              <w:tabs>
                <w:tab w:val="left" w:pos="251"/>
              </w:tabs>
              <w:jc w:val="center"/>
              <w:rPr>
                <w:rFonts w:ascii="仿宋" w:hAnsi="仿宋" w:eastAsia="仿宋" w:cs="仿宋"/>
                <w:color w:val="000000"/>
                <w:kern w:val="0"/>
                <w:sz w:val="22"/>
              </w:rPr>
            </w:pPr>
            <w:r>
              <w:rPr>
                <w:rFonts w:hint="eastAsia" w:ascii="仿宋" w:hAnsi="仿宋" w:eastAsia="仿宋" w:cs="仿宋"/>
                <w:color w:val="000000"/>
                <w:kern w:val="0"/>
                <w:sz w:val="22"/>
              </w:rPr>
              <w:t>2.5MM厚三涂二烤铝单2.5mm蓝灰色槽面板</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tabs>
                <w:tab w:val="left" w:pos="399"/>
              </w:tabs>
              <w:ind w:firstLine="220" w:firstLineChars="100"/>
              <w:jc w:val="center"/>
              <w:rPr>
                <w:rFonts w:ascii="仿宋" w:hAnsi="仿宋" w:eastAsia="仿宋" w:cs="仿宋"/>
                <w:color w:val="000000"/>
                <w:kern w:val="0"/>
                <w:sz w:val="22"/>
              </w:rPr>
            </w:pPr>
            <w:r>
              <w:rPr>
                <w:rFonts w:hint="eastAsia" w:ascii="仿宋" w:hAnsi="仿宋" w:eastAsia="仿宋" w:cs="仿宋"/>
                <w:color w:val="000000"/>
                <w:kern w:val="0"/>
                <w:sz w:val="22"/>
              </w:rPr>
              <w:t>3368</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357.52</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404.00</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25</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铝板</w:t>
            </w:r>
          </w:p>
        </w:tc>
        <w:tc>
          <w:tcPr>
            <w:tcW w:w="20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2.5MM厚三涂二烤铝单板替换原瓷片板（双曲线）</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1535</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429.03</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484.80</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26</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铝板</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2.5MM厚三涂二烤铝单板一层弧形雨棚</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m2</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630</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429.03</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484.80</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27</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钢骨架</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5MM厚热镀锌钢骨架</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T</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300.85</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5094.69</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5757.00</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28</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钢骨架</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10MM厚热镀锌钢骨架</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T</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285.35</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5362.83</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6060</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28</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钢骨架</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10MM厚氟碳喷涂钢骨架</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T</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199.27</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5809.73</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6564.99</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29</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钢骨架</w:t>
            </w:r>
          </w:p>
        </w:tc>
        <w:tc>
          <w:tcPr>
            <w:tcW w:w="2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5MM厚氟碳喷涂方钢管</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T</w:t>
            </w:r>
          </w:p>
        </w:tc>
        <w:tc>
          <w:tcPr>
            <w:tcW w:w="115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rPr>
                <w:rFonts w:ascii="仿宋" w:hAnsi="仿宋" w:eastAsia="仿宋" w:cs="仿宋"/>
                <w:color w:val="000000"/>
                <w:kern w:val="0"/>
                <w:sz w:val="22"/>
              </w:rPr>
            </w:pPr>
            <w:r>
              <w:rPr>
                <w:rFonts w:hint="eastAsia" w:ascii="仿宋" w:hAnsi="仿宋" w:eastAsia="仿宋" w:cs="仿宋"/>
                <w:color w:val="000000"/>
                <w:kern w:val="0"/>
                <w:sz w:val="22"/>
              </w:rPr>
              <w:t>102.55</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5184.07</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5858.00</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1044"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30</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铝合金型材</w:t>
            </w:r>
          </w:p>
        </w:tc>
        <w:tc>
          <w:tcPr>
            <w:tcW w:w="2088" w:type="dxa"/>
            <w:tcBorders>
              <w:top w:val="single" w:color="000000" w:sz="4" w:space="0"/>
              <w:left w:val="single" w:color="000000" w:sz="4" w:space="0"/>
              <w:bottom w:val="single" w:color="000000" w:sz="4" w:space="0"/>
              <w:right w:val="single" w:color="000000" w:sz="4" w:space="0"/>
            </w:tcBorders>
            <w:vAlign w:val="center"/>
          </w:tcPr>
          <w:p>
            <w:pPr>
              <w:pStyle w:val="10"/>
              <w:widowControl/>
              <w:spacing w:beforeAutospacing="0" w:afterAutospacing="0"/>
              <w:jc w:val="center"/>
              <w:rPr>
                <w:rFonts w:ascii="仿宋" w:hAnsi="仿宋" w:eastAsia="仿宋" w:cs="仿宋"/>
                <w:color w:val="000000"/>
                <w:sz w:val="22"/>
              </w:rPr>
            </w:pPr>
            <w:r>
              <w:rPr>
                <w:rFonts w:hint="eastAsia" w:ascii="仿宋" w:hAnsi="仿宋" w:eastAsia="仿宋" w:cs="仿宋"/>
                <w:color w:val="000000"/>
                <w:sz w:val="22"/>
              </w:rPr>
              <w:t>铝合金型材 110系列氟碳喷涂</w:t>
            </w:r>
          </w:p>
          <w:p>
            <w:pPr>
              <w:widowControl/>
              <w:jc w:val="center"/>
              <w:textAlignment w:val="center"/>
              <w:rPr>
                <w:rFonts w:ascii="仿宋" w:hAnsi="仿宋" w:eastAsia="仿宋" w:cs="仿宋"/>
                <w:color w:val="000000"/>
                <w:kern w:val="0"/>
                <w:sz w:val="22"/>
              </w:rPr>
            </w:pP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rPr>
            </w:pPr>
            <w:r>
              <w:rPr>
                <w:rFonts w:hint="eastAsia" w:ascii="仿宋" w:hAnsi="仿宋" w:eastAsia="仿宋" w:cs="仿宋"/>
                <w:color w:val="000000"/>
                <w:kern w:val="0"/>
                <w:sz w:val="22"/>
              </w:rPr>
              <w:t>T</w:t>
            </w:r>
          </w:p>
        </w:tc>
        <w:tc>
          <w:tcPr>
            <w:tcW w:w="115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rPr>
                <w:rFonts w:ascii="仿宋" w:hAnsi="仿宋" w:eastAsia="仿宋" w:cs="仿宋"/>
                <w:color w:val="000000"/>
                <w:kern w:val="0"/>
                <w:sz w:val="22"/>
              </w:rPr>
            </w:pPr>
            <w:r>
              <w:rPr>
                <w:rFonts w:hint="eastAsia" w:ascii="仿宋" w:hAnsi="仿宋" w:eastAsia="仿宋" w:cs="仿宋"/>
                <w:color w:val="000000"/>
                <w:kern w:val="0"/>
                <w:sz w:val="22"/>
              </w:rPr>
              <w:t>200.38</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11511.80</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r>
              <w:rPr>
                <w:rFonts w:hint="eastAsia" w:ascii="仿宋" w:hAnsi="仿宋" w:eastAsia="仿宋" w:cs="仿宋"/>
                <w:color w:val="000000"/>
                <w:kern w:val="0"/>
                <w:sz w:val="22"/>
              </w:rPr>
              <w:t>13008.33</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rPr>
            </w:pPr>
          </w:p>
        </w:tc>
      </w:tr>
      <w:tr>
        <w:tblPrEx>
          <w:tblCellMar>
            <w:top w:w="0" w:type="dxa"/>
            <w:left w:w="108" w:type="dxa"/>
            <w:bottom w:w="0" w:type="dxa"/>
            <w:right w:w="108" w:type="dxa"/>
          </w:tblCellMar>
        </w:tblPrEx>
        <w:trPr>
          <w:trHeight w:val="90" w:hRule="atLeast"/>
        </w:trPr>
        <w:tc>
          <w:tcPr>
            <w:tcW w:w="9327" w:type="dxa"/>
            <w:gridSpan w:val="9"/>
            <w:tcBorders>
              <w:top w:val="single" w:color="000000" w:sz="4" w:space="0"/>
              <w:left w:val="single" w:color="000000" w:sz="4" w:space="0"/>
              <w:bottom w:val="single" w:color="000000" w:sz="4" w:space="0"/>
              <w:right w:val="single" w:color="000000" w:sz="4" w:space="0"/>
            </w:tcBorders>
            <w:vAlign w:val="center"/>
          </w:tcPr>
          <w:p>
            <w:pPr>
              <w:pStyle w:val="2"/>
              <w:rPr>
                <w:rFonts w:hint="eastAsia" w:eastAsia="仿宋_GB2312"/>
                <w:lang w:val="en-US" w:eastAsia="zh-CN"/>
              </w:rPr>
            </w:pPr>
            <w:r>
              <w:rPr>
                <w:rFonts w:hint="eastAsia" w:eastAsia="仿宋_GB2312"/>
                <w:sz w:val="24"/>
                <w:lang w:val="en-US" w:eastAsia="zh-CN"/>
              </w:rPr>
              <w:t>上述单价包括了</w:t>
            </w:r>
            <w:r>
              <w:rPr>
                <w:rFonts w:eastAsia="仿宋_GB2312"/>
                <w:sz w:val="24"/>
              </w:rPr>
              <w:t>（但不限于）下述费用及风险</w:t>
            </w:r>
            <w:r>
              <w:rPr>
                <w:rFonts w:hint="eastAsia" w:eastAsia="仿宋_GB2312"/>
                <w:sz w:val="24"/>
                <w:lang w:eastAsia="zh-CN"/>
              </w:rPr>
              <w:t>：</w:t>
            </w:r>
          </w:p>
          <w:p>
            <w:pPr>
              <w:spacing w:line="440" w:lineRule="exact"/>
              <w:ind w:firstLine="480" w:firstLineChars="200"/>
              <w:rPr>
                <w:rFonts w:eastAsia="仿宋_GB2312"/>
                <w:sz w:val="24"/>
              </w:rPr>
            </w:pPr>
            <w:r>
              <w:rPr>
                <w:rFonts w:eastAsia="仿宋_GB2312"/>
                <w:sz w:val="24"/>
              </w:rPr>
              <w:t>①材料（设备）价款、税金、包装费、保险费、运杂费、装卸费、过江过路过桥费、以及其他运抵至甲方指定交货地点的一切费用、国家及地方规定的任何收费（包括但不限于登记费、手续费）、因要符合政府有关单位规定而必须改善或替换的任何费用、办理相关手续(含所需要提供的检测报告）、质量保修期内保修等完成</w:t>
            </w:r>
            <w:r>
              <w:rPr>
                <w:rFonts w:hint="eastAsia" w:eastAsia="仿宋_GB2312"/>
                <w:sz w:val="24"/>
                <w:lang w:val="en-US" w:eastAsia="zh-CN"/>
              </w:rPr>
              <w:t>项目</w:t>
            </w:r>
            <w:r>
              <w:rPr>
                <w:rFonts w:eastAsia="仿宋_GB2312"/>
                <w:sz w:val="24"/>
              </w:rPr>
              <w:t xml:space="preserve">工作所需的一切费用； </w:t>
            </w:r>
          </w:p>
          <w:p>
            <w:pPr>
              <w:spacing w:line="440" w:lineRule="exact"/>
              <w:ind w:firstLine="480" w:firstLineChars="200"/>
              <w:rPr>
                <w:rFonts w:eastAsia="仿宋_GB2312"/>
                <w:sz w:val="24"/>
              </w:rPr>
            </w:pPr>
            <w:r>
              <w:rPr>
                <w:rFonts w:eastAsia="仿宋_GB2312"/>
                <w:sz w:val="24"/>
              </w:rPr>
              <w:t xml:space="preserve">②货物被允许用于工程前所需进行的试验、检验费用； </w:t>
            </w:r>
          </w:p>
          <w:p>
            <w:pPr>
              <w:spacing w:line="440" w:lineRule="exact"/>
              <w:ind w:firstLine="480" w:firstLineChars="200"/>
              <w:rPr>
                <w:rFonts w:eastAsia="仿宋_GB2312"/>
                <w:sz w:val="24"/>
              </w:rPr>
            </w:pPr>
            <w:r>
              <w:rPr>
                <w:rFonts w:eastAsia="仿宋_GB2312"/>
                <w:sz w:val="24"/>
              </w:rPr>
              <w:t xml:space="preserve">③售后服务以及市场价格涨幅等的各类风险费用。对市场材料价格具影响的国家或地方相关法规、规章或通知等任何文件，本合同单价不受该等文件的约束； </w:t>
            </w:r>
          </w:p>
          <w:p>
            <w:pPr>
              <w:spacing w:line="440" w:lineRule="exact"/>
              <w:ind w:firstLine="480" w:firstLineChars="200"/>
              <w:rPr>
                <w:rFonts w:eastAsia="仿宋_GB2312"/>
                <w:sz w:val="24"/>
              </w:rPr>
            </w:pPr>
            <w:r>
              <w:rPr>
                <w:rFonts w:eastAsia="仿宋_GB2312"/>
                <w:sz w:val="24"/>
              </w:rPr>
              <w:t xml:space="preserve">④其他所有相关服务费用； </w:t>
            </w:r>
          </w:p>
          <w:p>
            <w:pPr>
              <w:spacing w:line="440" w:lineRule="exact"/>
              <w:ind w:firstLine="480" w:firstLineChars="200"/>
              <w:rPr>
                <w:rFonts w:eastAsia="仿宋_GB2312"/>
                <w:sz w:val="24"/>
              </w:rPr>
            </w:pPr>
            <w:r>
              <w:rPr>
                <w:rFonts w:eastAsia="仿宋_GB2312"/>
                <w:sz w:val="24"/>
              </w:rPr>
              <w:t xml:space="preserve">⑤需要经安装、测试、调试才能满足本合同质量标准、技术标准要求的，该单价、合同总金额以及最终结算总价已包括了指导、安装、测试、现场拼装(如需)、特种设备检测（如有）、调试直至满足其质量标准、技术标准要求所需的一切工作内容及其费用支出； </w:t>
            </w:r>
          </w:p>
          <w:p>
            <w:pPr>
              <w:spacing w:line="440" w:lineRule="exact"/>
              <w:ind w:firstLine="480" w:firstLineChars="200"/>
              <w:rPr>
                <w:rFonts w:eastAsia="仿宋_GB2312"/>
                <w:sz w:val="24"/>
              </w:rPr>
            </w:pPr>
            <w:r>
              <w:rPr>
                <w:rFonts w:eastAsia="仿宋_GB2312"/>
                <w:sz w:val="24"/>
              </w:rPr>
              <w:t xml:space="preserve">⑥材料的运输、装（卸）货的运输设备和劳务费用的价格波动； </w:t>
            </w:r>
          </w:p>
          <w:p>
            <w:pPr>
              <w:spacing w:line="440" w:lineRule="exact"/>
              <w:ind w:firstLine="480" w:firstLineChars="200"/>
              <w:rPr>
                <w:rFonts w:eastAsia="仿宋_GB2312"/>
                <w:sz w:val="24"/>
              </w:rPr>
            </w:pPr>
            <w:r>
              <w:rPr>
                <w:rFonts w:eastAsia="仿宋_GB2312"/>
                <w:sz w:val="24"/>
              </w:rPr>
              <w:t xml:space="preserve">⑦因乙方材料的运输、装（卸）货安全责任而发生的赔偿责任； </w:t>
            </w:r>
          </w:p>
          <w:p>
            <w:pPr>
              <w:spacing w:line="440" w:lineRule="exact"/>
              <w:ind w:firstLine="480" w:firstLineChars="200"/>
              <w:rPr>
                <w:rFonts w:eastAsia="仿宋_GB2312"/>
                <w:sz w:val="24"/>
              </w:rPr>
            </w:pPr>
            <w:r>
              <w:rPr>
                <w:rFonts w:eastAsia="仿宋_GB2312"/>
                <w:sz w:val="24"/>
              </w:rPr>
              <w:t>⑧其他影响费用增加的事件发生。</w:t>
            </w:r>
          </w:p>
          <w:p>
            <w:pPr>
              <w:widowControl/>
              <w:jc w:val="center"/>
              <w:textAlignment w:val="center"/>
              <w:rPr>
                <w:rFonts w:ascii="仿宋" w:hAnsi="仿宋" w:eastAsia="仿宋" w:cs="仿宋"/>
                <w:color w:val="000000"/>
                <w:sz w:val="18"/>
                <w:szCs w:val="18"/>
              </w:rPr>
            </w:pPr>
          </w:p>
        </w:tc>
      </w:tr>
    </w:tbl>
    <w:p>
      <w:pPr>
        <w:pStyle w:val="7"/>
        <w:rPr>
          <w:rFonts w:hint="eastAsia" w:ascii="仿宋_GB2312" w:hAnsi="仿宋_GB2312" w:eastAsia="仿宋_GB2312" w:cs="仿宋_GB2312"/>
          <w:b/>
          <w:bCs/>
          <w:color w:val="000000"/>
          <w:kern w:val="2"/>
          <w:sz w:val="32"/>
          <w:szCs w:val="32"/>
          <w:shd w:val="clear" w:color="auto" w:fill="FFFFFF"/>
          <w:lang w:val="en-US" w:eastAsia="zh-CN" w:bidi="ar-SA"/>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lang w:val="en-US" w:eastAsia="zh-CN" w:bidi="ar-SA"/>
        </w:rPr>
        <w:t>见上诉清单。</w:t>
      </w:r>
    </w:p>
    <w:p>
      <w:pPr>
        <w:spacing w:line="360" w:lineRule="auto"/>
        <w:rPr>
          <w:rFonts w:hint="default"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三、产品质量：</w:t>
      </w:r>
      <w:r>
        <w:rPr>
          <w:rFonts w:hint="eastAsia" w:ascii="仿宋_GB2312" w:hAnsi="仿宋_GB2312" w:eastAsia="仿宋_GB2312" w:cs="仿宋_GB2312"/>
          <w:kern w:val="2"/>
          <w:sz w:val="32"/>
          <w:szCs w:val="32"/>
          <w:lang w:val="en-US" w:eastAsia="zh-CN" w:bidi="ar-SA"/>
        </w:rPr>
        <w:t>卖方应保证货物是全新，未使用过的，是用一流的工艺和最佳材料制造而成的，并完全符合合同规定的质量、规格和性能的要求。卖方应保证所提供的货物经正确安装、正常运转和保养在其使用寿命期内应具有满意的性能。在货物质量保证期之内，卖方应对由于设计、工艺或材料的缺陷而发生的任何不足或故障负责。</w:t>
      </w:r>
    </w:p>
    <w:p>
      <w:pPr>
        <w:spacing w:line="360" w:lineRule="auto"/>
        <w:rPr>
          <w:rFonts w:hint="default"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kern w:val="2"/>
          <w:sz w:val="32"/>
          <w:szCs w:val="32"/>
          <w:lang w:val="en-US" w:eastAsia="zh-CN" w:bidi="ar-SA"/>
        </w:rPr>
        <w:t>无。</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1、乙方所供的货物到达甲方指定地点后，甲方通过第 ①③⑤ 种计量 </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方式进行数量验收：①点件；②检斤；③检尺；④检斤理论换算；⑤检尺理论换算。 </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在进行数量验收的同时，甲方会对产品外观进行现场抽检，并核对乙方提供的质量证明文件中各种技术参数。针对不符合要求的材料甲方将在验收结束对相应方量进行扣除。甲方的收货验收仅作为感观合格的依据，不能解除乙方对产品内在质量所负的责任。甲乙双方以具备资质的实验室数据检测结果作为最终产品内在质量的依据。 </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3、甲方有权随时将乙方所供材料送到具备资质的第三方检测机构进行检测。如检测合格，检测费用由甲方承担；如检测不合格（包括二次复试），甲方有权全部退货，并由乙方承担由此给甲方造成的一切损失。 </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4、甲方可随时指派监管人员到生产现场对合同标的物的生产过程进行监管，乙方应予以配合引导并提供原材料的质量证明文件及相关资料。 </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5、自乙方将合同标的物运输至甲方指定收货地点，合同标的物经验收合格，合同标的物完成交付后，合同标的物所有权由乙方转移至甲方。若因乙方无合同标的物所有权或委托代理销售权给甲方或第三方造成损失的，由乙方承担全部赔偿责任。 </w:t>
      </w:r>
    </w:p>
    <w:p>
      <w:pPr>
        <w:spacing w:line="360" w:lineRule="auto"/>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 xml:space="preserve">6、乙方须随货提供真实的、针对本批次产品的合格证、质量证明书、检验报告等质量证明文件，否则不予验收，视为本次未按期提供产品。  </w:t>
      </w:r>
    </w:p>
    <w:p>
      <w:pPr>
        <w:numPr>
          <w:ilvl w:val="0"/>
          <w:numId w:val="0"/>
        </w:numPr>
        <w:spacing w:line="360" w:lineRule="auto"/>
        <w:rPr>
          <w:rFonts w:hint="eastAsia"/>
        </w:rPr>
      </w:pPr>
      <w:r>
        <w:rPr>
          <w:rFonts w:hint="eastAsia" w:ascii="仿宋_GB2312" w:hAnsi="仿宋_GB2312" w:eastAsia="仿宋_GB2312" w:cs="仿宋_GB2312"/>
          <w:b/>
          <w:bCs/>
          <w:sz w:val="32"/>
          <w:szCs w:val="32"/>
          <w:lang w:val="en-US" w:eastAsia="zh-CN"/>
        </w:rPr>
        <w:t>六、交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kern w:val="2"/>
          <w:sz w:val="32"/>
          <w:szCs w:val="32"/>
          <w:lang w:val="en-US" w:eastAsia="zh-CN" w:bidi="ar-SA"/>
        </w:rPr>
        <w:t>乙方所供货物到达甲方指定地点后，甲方应当在 2 日内，完成对该批货物的数量与外观瑕疵的验收，乙方应对所提供产品质量问题在质量保证期内承担责任。</w:t>
      </w:r>
    </w:p>
    <w:p>
      <w:pPr>
        <w:pStyle w:val="7"/>
        <w:numPr>
          <w:ilvl w:val="0"/>
          <w:numId w:val="0"/>
        </w:numPr>
        <w:ind w:lef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7"/>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含分项报价表</w:t>
      </w:r>
      <w:r>
        <w:rPr>
          <w:rFonts w:hint="eastAsia" w:ascii="仿宋_GB2312" w:hAnsi="仿宋_GB2312" w:eastAsia="仿宋_GB2312" w:cs="仿宋_GB2312"/>
          <w:kern w:val="2"/>
          <w:sz w:val="32"/>
          <w:szCs w:val="32"/>
          <w:lang w:eastAsia="zh-CN"/>
        </w:rPr>
        <w:t>）</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在三家及以上时，按以下程序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付款方式：乙方按合同约定的时间将货物送到甲方指定地点，每月20日乙方应针对上月运抵工地现场并经甲方签字确认收到的经验收合格的货物，且经甲方确认无误后，甲方于次月30日前向乙方月度支付该笔货款的70 %；竣工验收备案完成六个月内付至结算总额的83%，项目竣工备案验收完成后12个月内付至供货总值的97%，剩余3%作为该项目的质量保证金。</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4"/>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26048"/>
      <w:bookmarkStart w:id="8"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default" w:ascii="仿宋" w:hAnsi="仿宋" w:eastAsia="仿宋" w:cs="仿宋"/>
          <w:sz w:val="32"/>
          <w:highlight w:val="none"/>
          <w:lang w:val="en-US" w:eastAsia="zh-CN"/>
        </w:rPr>
      </w:pPr>
      <w:r>
        <w:rPr>
          <w:rFonts w:hint="eastAsia" w:ascii="仿宋" w:hAnsi="仿宋" w:eastAsia="仿宋" w:cs="仿宋"/>
          <w:sz w:val="32"/>
          <w:highlight w:val="none"/>
          <w:lang w:val="en-US" w:eastAsia="zh-CN"/>
        </w:rPr>
        <w:t>1、报价单</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tbl>
      <w:tblPr>
        <w:tblStyle w:val="11"/>
        <w:tblW w:w="953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4"/>
        <w:gridCol w:w="1399"/>
        <w:gridCol w:w="1342"/>
        <w:gridCol w:w="1938"/>
        <w:gridCol w:w="19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50"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194"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399"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1342"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938" w:type="dxa"/>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暂定</w:t>
            </w:r>
            <w:r>
              <w:rPr>
                <w:rFonts w:hint="eastAsia" w:ascii="仿宋" w:hAnsi="仿宋" w:eastAsia="仿宋" w:cs="仿宋"/>
                <w:sz w:val="24"/>
                <w:highlight w:val="none"/>
              </w:rPr>
              <w:t>数量</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lang w:eastAsia="zh-CN"/>
              </w:rPr>
              <w:t>）</w:t>
            </w:r>
          </w:p>
        </w:tc>
        <w:tc>
          <w:tcPr>
            <w:tcW w:w="1904"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004"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0" w:type="dxa"/>
            <w:noWrap w:val="0"/>
            <w:vAlign w:val="center"/>
          </w:tcPr>
          <w:p>
            <w:pPr>
              <w:spacing w:line="460" w:lineRule="exact"/>
              <w:jc w:val="center"/>
              <w:rPr>
                <w:rFonts w:hint="eastAsia" w:ascii="仿宋" w:hAnsi="仿宋" w:eastAsia="仿宋" w:cs="仿宋"/>
                <w:sz w:val="28"/>
                <w:highlight w:val="none"/>
              </w:rPr>
            </w:pPr>
          </w:p>
        </w:tc>
        <w:tc>
          <w:tcPr>
            <w:tcW w:w="1194" w:type="dxa"/>
            <w:noWrap w:val="0"/>
            <w:vAlign w:val="center"/>
          </w:tcPr>
          <w:p>
            <w:pPr>
              <w:spacing w:line="460" w:lineRule="exact"/>
              <w:rPr>
                <w:rFonts w:hint="eastAsia" w:ascii="仿宋" w:hAnsi="仿宋" w:eastAsia="仿宋" w:cs="仿宋"/>
                <w:sz w:val="24"/>
                <w:highlight w:val="none"/>
              </w:rPr>
            </w:pPr>
          </w:p>
        </w:tc>
        <w:tc>
          <w:tcPr>
            <w:tcW w:w="1399" w:type="dxa"/>
            <w:noWrap w:val="0"/>
            <w:vAlign w:val="center"/>
          </w:tcPr>
          <w:p>
            <w:pPr>
              <w:spacing w:line="460" w:lineRule="exact"/>
              <w:rPr>
                <w:rFonts w:hint="eastAsia" w:ascii="仿宋" w:hAnsi="仿宋" w:eastAsia="仿宋" w:cs="仿宋"/>
                <w:sz w:val="24"/>
                <w:highlight w:val="none"/>
              </w:rPr>
            </w:pPr>
          </w:p>
        </w:tc>
        <w:tc>
          <w:tcPr>
            <w:tcW w:w="1342" w:type="dxa"/>
            <w:noWrap w:val="0"/>
            <w:vAlign w:val="top"/>
          </w:tcPr>
          <w:p>
            <w:pPr>
              <w:spacing w:line="460" w:lineRule="exact"/>
              <w:rPr>
                <w:rFonts w:hint="eastAsia" w:ascii="仿宋" w:hAnsi="仿宋" w:eastAsia="仿宋" w:cs="仿宋"/>
                <w:sz w:val="28"/>
                <w:highlight w:val="none"/>
              </w:rPr>
            </w:pPr>
          </w:p>
        </w:tc>
        <w:tc>
          <w:tcPr>
            <w:tcW w:w="1938"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904" w:type="dxa"/>
            <w:noWrap w:val="0"/>
            <w:vAlign w:val="top"/>
          </w:tcPr>
          <w:p>
            <w:pPr>
              <w:spacing w:line="460" w:lineRule="exact"/>
              <w:jc w:val="center"/>
              <w:rPr>
                <w:rFonts w:hint="eastAsia" w:ascii="仿宋" w:hAnsi="仿宋" w:eastAsia="仿宋" w:cs="仿宋"/>
                <w:sz w:val="24"/>
                <w:highlight w:val="none"/>
              </w:rPr>
            </w:pPr>
          </w:p>
        </w:tc>
        <w:tc>
          <w:tcPr>
            <w:tcW w:w="1004"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0" w:type="dxa"/>
            <w:noWrap w:val="0"/>
            <w:vAlign w:val="center"/>
          </w:tcPr>
          <w:p>
            <w:pPr>
              <w:spacing w:line="460" w:lineRule="exact"/>
              <w:jc w:val="center"/>
              <w:rPr>
                <w:rFonts w:hint="eastAsia" w:ascii="仿宋" w:hAnsi="仿宋" w:eastAsia="仿宋" w:cs="仿宋"/>
                <w:sz w:val="28"/>
                <w:highlight w:val="none"/>
              </w:rPr>
            </w:pPr>
          </w:p>
        </w:tc>
        <w:tc>
          <w:tcPr>
            <w:tcW w:w="1194" w:type="dxa"/>
            <w:noWrap w:val="0"/>
            <w:vAlign w:val="center"/>
          </w:tcPr>
          <w:p>
            <w:pPr>
              <w:spacing w:line="460" w:lineRule="exact"/>
              <w:rPr>
                <w:rFonts w:hint="eastAsia" w:ascii="仿宋" w:hAnsi="仿宋" w:eastAsia="仿宋" w:cs="仿宋"/>
                <w:sz w:val="24"/>
                <w:highlight w:val="none"/>
              </w:rPr>
            </w:pPr>
          </w:p>
        </w:tc>
        <w:tc>
          <w:tcPr>
            <w:tcW w:w="1399" w:type="dxa"/>
            <w:noWrap w:val="0"/>
            <w:vAlign w:val="center"/>
          </w:tcPr>
          <w:p>
            <w:pPr>
              <w:spacing w:line="460" w:lineRule="exact"/>
              <w:rPr>
                <w:rFonts w:hint="eastAsia" w:ascii="仿宋" w:hAnsi="仿宋" w:eastAsia="仿宋" w:cs="仿宋"/>
                <w:sz w:val="24"/>
                <w:highlight w:val="none"/>
              </w:rPr>
            </w:pPr>
          </w:p>
        </w:tc>
        <w:tc>
          <w:tcPr>
            <w:tcW w:w="1342" w:type="dxa"/>
            <w:noWrap w:val="0"/>
            <w:vAlign w:val="top"/>
          </w:tcPr>
          <w:p>
            <w:pPr>
              <w:spacing w:line="460" w:lineRule="exact"/>
              <w:rPr>
                <w:rFonts w:hint="eastAsia" w:ascii="仿宋" w:hAnsi="仿宋" w:eastAsia="仿宋" w:cs="仿宋"/>
                <w:sz w:val="28"/>
                <w:highlight w:val="none"/>
              </w:rPr>
            </w:pPr>
          </w:p>
        </w:tc>
        <w:tc>
          <w:tcPr>
            <w:tcW w:w="1938"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904" w:type="dxa"/>
            <w:noWrap w:val="0"/>
            <w:vAlign w:val="top"/>
          </w:tcPr>
          <w:p>
            <w:pPr>
              <w:spacing w:line="460" w:lineRule="exact"/>
              <w:jc w:val="center"/>
              <w:rPr>
                <w:rFonts w:hint="eastAsia" w:ascii="仿宋" w:hAnsi="仿宋" w:eastAsia="仿宋" w:cs="仿宋"/>
                <w:sz w:val="24"/>
                <w:highlight w:val="none"/>
              </w:rPr>
            </w:pPr>
          </w:p>
        </w:tc>
        <w:tc>
          <w:tcPr>
            <w:tcW w:w="1004"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0" w:type="dxa"/>
            <w:noWrap w:val="0"/>
            <w:vAlign w:val="center"/>
          </w:tcPr>
          <w:p>
            <w:pPr>
              <w:spacing w:line="460" w:lineRule="exact"/>
              <w:jc w:val="center"/>
              <w:rPr>
                <w:rFonts w:hint="eastAsia" w:ascii="仿宋" w:hAnsi="仿宋" w:eastAsia="仿宋" w:cs="仿宋"/>
                <w:sz w:val="28"/>
                <w:highlight w:val="none"/>
              </w:rPr>
            </w:pPr>
          </w:p>
        </w:tc>
        <w:tc>
          <w:tcPr>
            <w:tcW w:w="1194" w:type="dxa"/>
            <w:noWrap w:val="0"/>
            <w:vAlign w:val="center"/>
          </w:tcPr>
          <w:p>
            <w:pPr>
              <w:spacing w:line="460" w:lineRule="exact"/>
              <w:rPr>
                <w:rFonts w:hint="eastAsia" w:ascii="仿宋" w:hAnsi="仿宋" w:eastAsia="仿宋" w:cs="仿宋"/>
                <w:sz w:val="24"/>
                <w:highlight w:val="none"/>
              </w:rPr>
            </w:pPr>
          </w:p>
        </w:tc>
        <w:tc>
          <w:tcPr>
            <w:tcW w:w="1399" w:type="dxa"/>
            <w:noWrap w:val="0"/>
            <w:vAlign w:val="center"/>
          </w:tcPr>
          <w:p>
            <w:pPr>
              <w:spacing w:line="460" w:lineRule="exact"/>
              <w:rPr>
                <w:rFonts w:hint="eastAsia" w:ascii="仿宋" w:hAnsi="仿宋" w:eastAsia="仿宋" w:cs="仿宋"/>
                <w:sz w:val="24"/>
                <w:highlight w:val="none"/>
              </w:rPr>
            </w:pPr>
          </w:p>
        </w:tc>
        <w:tc>
          <w:tcPr>
            <w:tcW w:w="1342" w:type="dxa"/>
            <w:noWrap w:val="0"/>
            <w:vAlign w:val="top"/>
          </w:tcPr>
          <w:p>
            <w:pPr>
              <w:spacing w:line="460" w:lineRule="exact"/>
              <w:rPr>
                <w:rFonts w:hint="eastAsia" w:ascii="仿宋" w:hAnsi="仿宋" w:eastAsia="仿宋" w:cs="仿宋"/>
                <w:sz w:val="28"/>
                <w:highlight w:val="none"/>
              </w:rPr>
            </w:pPr>
          </w:p>
        </w:tc>
        <w:tc>
          <w:tcPr>
            <w:tcW w:w="1938"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904" w:type="dxa"/>
            <w:noWrap w:val="0"/>
            <w:vAlign w:val="top"/>
          </w:tcPr>
          <w:p>
            <w:pPr>
              <w:spacing w:line="460" w:lineRule="exact"/>
              <w:jc w:val="center"/>
              <w:rPr>
                <w:rFonts w:hint="eastAsia" w:ascii="仿宋" w:hAnsi="仿宋" w:eastAsia="仿宋" w:cs="仿宋"/>
                <w:sz w:val="24"/>
                <w:highlight w:val="none"/>
              </w:rPr>
            </w:pPr>
          </w:p>
        </w:tc>
        <w:tc>
          <w:tcPr>
            <w:tcW w:w="1004"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50" w:type="dxa"/>
            <w:noWrap w:val="0"/>
            <w:vAlign w:val="center"/>
          </w:tcPr>
          <w:p>
            <w:pPr>
              <w:spacing w:line="460" w:lineRule="exact"/>
              <w:jc w:val="center"/>
              <w:rPr>
                <w:rFonts w:hint="eastAsia" w:ascii="仿宋" w:hAnsi="仿宋" w:eastAsia="仿宋" w:cs="仿宋"/>
                <w:sz w:val="28"/>
                <w:highlight w:val="none"/>
              </w:rPr>
            </w:pPr>
          </w:p>
        </w:tc>
        <w:tc>
          <w:tcPr>
            <w:tcW w:w="1194" w:type="dxa"/>
            <w:noWrap w:val="0"/>
            <w:vAlign w:val="center"/>
          </w:tcPr>
          <w:p>
            <w:pPr>
              <w:spacing w:line="460" w:lineRule="exact"/>
              <w:rPr>
                <w:rFonts w:hint="eastAsia" w:ascii="仿宋" w:hAnsi="仿宋" w:eastAsia="仿宋" w:cs="仿宋"/>
                <w:sz w:val="24"/>
                <w:highlight w:val="none"/>
              </w:rPr>
            </w:pPr>
          </w:p>
        </w:tc>
        <w:tc>
          <w:tcPr>
            <w:tcW w:w="1399" w:type="dxa"/>
            <w:noWrap w:val="0"/>
            <w:vAlign w:val="center"/>
          </w:tcPr>
          <w:p>
            <w:pPr>
              <w:spacing w:line="460" w:lineRule="exact"/>
              <w:rPr>
                <w:rFonts w:hint="eastAsia" w:ascii="仿宋" w:hAnsi="仿宋" w:eastAsia="仿宋" w:cs="仿宋"/>
                <w:sz w:val="24"/>
                <w:highlight w:val="none"/>
              </w:rPr>
            </w:pPr>
          </w:p>
        </w:tc>
        <w:tc>
          <w:tcPr>
            <w:tcW w:w="1342" w:type="dxa"/>
            <w:noWrap w:val="0"/>
            <w:vAlign w:val="top"/>
          </w:tcPr>
          <w:p>
            <w:pPr>
              <w:spacing w:line="460" w:lineRule="exact"/>
              <w:rPr>
                <w:rFonts w:hint="eastAsia" w:ascii="仿宋" w:hAnsi="仿宋" w:eastAsia="仿宋" w:cs="仿宋"/>
                <w:sz w:val="28"/>
                <w:highlight w:val="none"/>
              </w:rPr>
            </w:pPr>
          </w:p>
        </w:tc>
        <w:tc>
          <w:tcPr>
            <w:tcW w:w="1938"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904" w:type="dxa"/>
            <w:noWrap w:val="0"/>
            <w:vAlign w:val="top"/>
          </w:tcPr>
          <w:p>
            <w:pPr>
              <w:spacing w:line="460" w:lineRule="exact"/>
              <w:jc w:val="center"/>
              <w:rPr>
                <w:rFonts w:hint="eastAsia" w:ascii="仿宋" w:hAnsi="仿宋" w:eastAsia="仿宋" w:cs="仿宋"/>
                <w:sz w:val="24"/>
                <w:highlight w:val="none"/>
              </w:rPr>
            </w:pPr>
          </w:p>
        </w:tc>
        <w:tc>
          <w:tcPr>
            <w:tcW w:w="1004"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50" w:type="dxa"/>
            <w:noWrap w:val="0"/>
            <w:vAlign w:val="center"/>
          </w:tcPr>
          <w:p>
            <w:pPr>
              <w:spacing w:line="460" w:lineRule="exact"/>
              <w:jc w:val="center"/>
              <w:rPr>
                <w:rFonts w:hint="eastAsia" w:ascii="仿宋" w:hAnsi="仿宋" w:eastAsia="仿宋" w:cs="仿宋"/>
                <w:sz w:val="28"/>
                <w:highlight w:val="none"/>
              </w:rPr>
            </w:pPr>
          </w:p>
        </w:tc>
        <w:tc>
          <w:tcPr>
            <w:tcW w:w="1194" w:type="dxa"/>
            <w:noWrap w:val="0"/>
            <w:vAlign w:val="center"/>
          </w:tcPr>
          <w:p>
            <w:pPr>
              <w:spacing w:line="460" w:lineRule="exact"/>
              <w:rPr>
                <w:rFonts w:hint="eastAsia" w:ascii="仿宋" w:hAnsi="仿宋" w:eastAsia="仿宋" w:cs="仿宋"/>
                <w:sz w:val="24"/>
                <w:highlight w:val="none"/>
              </w:rPr>
            </w:pPr>
          </w:p>
        </w:tc>
        <w:tc>
          <w:tcPr>
            <w:tcW w:w="1399" w:type="dxa"/>
            <w:noWrap w:val="0"/>
            <w:vAlign w:val="center"/>
          </w:tcPr>
          <w:p>
            <w:pPr>
              <w:spacing w:line="460" w:lineRule="exact"/>
              <w:rPr>
                <w:rFonts w:hint="eastAsia" w:ascii="仿宋" w:hAnsi="仿宋" w:eastAsia="仿宋" w:cs="仿宋"/>
                <w:sz w:val="24"/>
                <w:highlight w:val="none"/>
              </w:rPr>
            </w:pPr>
          </w:p>
        </w:tc>
        <w:tc>
          <w:tcPr>
            <w:tcW w:w="1342" w:type="dxa"/>
            <w:noWrap w:val="0"/>
            <w:vAlign w:val="top"/>
          </w:tcPr>
          <w:p>
            <w:pPr>
              <w:spacing w:line="460" w:lineRule="exact"/>
              <w:rPr>
                <w:rFonts w:hint="eastAsia" w:ascii="仿宋" w:hAnsi="仿宋" w:eastAsia="仿宋" w:cs="仿宋"/>
                <w:sz w:val="28"/>
                <w:highlight w:val="none"/>
              </w:rPr>
            </w:pPr>
          </w:p>
        </w:tc>
        <w:tc>
          <w:tcPr>
            <w:tcW w:w="1938"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904" w:type="dxa"/>
            <w:noWrap w:val="0"/>
            <w:vAlign w:val="top"/>
          </w:tcPr>
          <w:p>
            <w:pPr>
              <w:spacing w:line="460" w:lineRule="exact"/>
              <w:jc w:val="center"/>
              <w:rPr>
                <w:rFonts w:hint="eastAsia" w:ascii="仿宋" w:hAnsi="仿宋" w:eastAsia="仿宋" w:cs="仿宋"/>
                <w:sz w:val="24"/>
                <w:highlight w:val="none"/>
              </w:rPr>
            </w:pPr>
          </w:p>
        </w:tc>
        <w:tc>
          <w:tcPr>
            <w:tcW w:w="1004"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50" w:type="dxa"/>
            <w:noWrap w:val="0"/>
            <w:vAlign w:val="center"/>
          </w:tcPr>
          <w:p>
            <w:pPr>
              <w:spacing w:line="460" w:lineRule="exact"/>
              <w:jc w:val="center"/>
              <w:rPr>
                <w:rFonts w:hint="eastAsia" w:ascii="仿宋" w:hAnsi="仿宋" w:eastAsia="仿宋" w:cs="仿宋"/>
                <w:sz w:val="28"/>
                <w:highlight w:val="none"/>
              </w:rPr>
            </w:pPr>
          </w:p>
        </w:tc>
        <w:tc>
          <w:tcPr>
            <w:tcW w:w="1194" w:type="dxa"/>
            <w:noWrap w:val="0"/>
            <w:vAlign w:val="center"/>
          </w:tcPr>
          <w:p>
            <w:pPr>
              <w:spacing w:line="460" w:lineRule="exact"/>
              <w:rPr>
                <w:rFonts w:hint="eastAsia" w:ascii="仿宋" w:hAnsi="仿宋" w:eastAsia="仿宋" w:cs="仿宋"/>
                <w:sz w:val="24"/>
                <w:highlight w:val="none"/>
              </w:rPr>
            </w:pPr>
          </w:p>
        </w:tc>
        <w:tc>
          <w:tcPr>
            <w:tcW w:w="1399" w:type="dxa"/>
            <w:noWrap w:val="0"/>
            <w:vAlign w:val="center"/>
          </w:tcPr>
          <w:p>
            <w:pPr>
              <w:spacing w:line="460" w:lineRule="exact"/>
              <w:rPr>
                <w:rFonts w:hint="eastAsia" w:ascii="仿宋" w:hAnsi="仿宋" w:eastAsia="仿宋" w:cs="仿宋"/>
                <w:sz w:val="24"/>
                <w:highlight w:val="none"/>
              </w:rPr>
            </w:pPr>
          </w:p>
        </w:tc>
        <w:tc>
          <w:tcPr>
            <w:tcW w:w="1342" w:type="dxa"/>
            <w:noWrap w:val="0"/>
            <w:vAlign w:val="top"/>
          </w:tcPr>
          <w:p>
            <w:pPr>
              <w:spacing w:line="460" w:lineRule="exact"/>
              <w:rPr>
                <w:rFonts w:hint="eastAsia" w:ascii="仿宋" w:hAnsi="仿宋" w:eastAsia="仿宋" w:cs="仿宋"/>
                <w:sz w:val="28"/>
                <w:highlight w:val="none"/>
              </w:rPr>
            </w:pPr>
          </w:p>
        </w:tc>
        <w:tc>
          <w:tcPr>
            <w:tcW w:w="1938"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904" w:type="dxa"/>
            <w:noWrap w:val="0"/>
            <w:vAlign w:val="top"/>
          </w:tcPr>
          <w:p>
            <w:pPr>
              <w:spacing w:line="460" w:lineRule="exact"/>
              <w:jc w:val="center"/>
              <w:rPr>
                <w:rFonts w:hint="eastAsia" w:ascii="仿宋" w:hAnsi="仿宋" w:eastAsia="仿宋" w:cs="仿宋"/>
                <w:sz w:val="24"/>
                <w:highlight w:val="none"/>
              </w:rPr>
            </w:pPr>
          </w:p>
        </w:tc>
        <w:tc>
          <w:tcPr>
            <w:tcW w:w="1004"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50" w:type="dxa"/>
            <w:noWrap w:val="0"/>
            <w:vAlign w:val="center"/>
          </w:tcPr>
          <w:p>
            <w:pPr>
              <w:spacing w:line="460" w:lineRule="exact"/>
              <w:jc w:val="center"/>
              <w:rPr>
                <w:rFonts w:hint="eastAsia" w:ascii="仿宋" w:hAnsi="仿宋" w:eastAsia="仿宋" w:cs="仿宋"/>
                <w:sz w:val="28"/>
                <w:highlight w:val="none"/>
              </w:rPr>
            </w:pPr>
          </w:p>
        </w:tc>
        <w:tc>
          <w:tcPr>
            <w:tcW w:w="1194" w:type="dxa"/>
            <w:noWrap w:val="0"/>
            <w:vAlign w:val="center"/>
          </w:tcPr>
          <w:p>
            <w:pPr>
              <w:spacing w:line="460" w:lineRule="exact"/>
              <w:rPr>
                <w:rFonts w:hint="eastAsia" w:ascii="仿宋" w:hAnsi="仿宋" w:eastAsia="仿宋" w:cs="仿宋"/>
                <w:sz w:val="24"/>
                <w:highlight w:val="none"/>
              </w:rPr>
            </w:pPr>
          </w:p>
        </w:tc>
        <w:tc>
          <w:tcPr>
            <w:tcW w:w="1399" w:type="dxa"/>
            <w:noWrap w:val="0"/>
            <w:vAlign w:val="center"/>
          </w:tcPr>
          <w:p>
            <w:pPr>
              <w:spacing w:line="460" w:lineRule="exact"/>
              <w:rPr>
                <w:rFonts w:hint="eastAsia" w:ascii="仿宋" w:hAnsi="仿宋" w:eastAsia="仿宋" w:cs="仿宋"/>
                <w:sz w:val="24"/>
                <w:highlight w:val="none"/>
              </w:rPr>
            </w:pPr>
          </w:p>
        </w:tc>
        <w:tc>
          <w:tcPr>
            <w:tcW w:w="1342" w:type="dxa"/>
            <w:noWrap w:val="0"/>
            <w:vAlign w:val="top"/>
          </w:tcPr>
          <w:p>
            <w:pPr>
              <w:spacing w:line="460" w:lineRule="exact"/>
              <w:rPr>
                <w:rFonts w:hint="eastAsia" w:ascii="仿宋" w:hAnsi="仿宋" w:eastAsia="仿宋" w:cs="仿宋"/>
                <w:sz w:val="28"/>
                <w:highlight w:val="none"/>
              </w:rPr>
            </w:pPr>
          </w:p>
        </w:tc>
        <w:tc>
          <w:tcPr>
            <w:tcW w:w="1938"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904" w:type="dxa"/>
            <w:noWrap w:val="0"/>
            <w:vAlign w:val="top"/>
          </w:tcPr>
          <w:p>
            <w:pPr>
              <w:spacing w:line="460" w:lineRule="exact"/>
              <w:jc w:val="center"/>
              <w:rPr>
                <w:rFonts w:hint="eastAsia" w:ascii="仿宋" w:hAnsi="仿宋" w:eastAsia="仿宋" w:cs="仿宋"/>
                <w:sz w:val="24"/>
                <w:highlight w:val="none"/>
              </w:rPr>
            </w:pPr>
          </w:p>
        </w:tc>
        <w:tc>
          <w:tcPr>
            <w:tcW w:w="1004" w:type="dxa"/>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6"/>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1907" w:h="16840"/>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4"/>
        <w:numPr>
          <w:ilvl w:val="0"/>
          <w:numId w:val="0"/>
        </w:numPr>
        <w:ind w:leftChars="0"/>
        <w:rPr>
          <w:rFonts w:hint="eastAsia" w:ascii="仿宋" w:hAnsi="仿宋" w:eastAsia="仿宋" w:cs="仿宋"/>
          <w:b w:val="0"/>
          <w:bCs w:val="0"/>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4"/>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036"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w:t>
            </w:r>
          </w:p>
        </w:tc>
        <w:tc>
          <w:tcPr>
            <w:tcW w:w="3057" w:type="dxa"/>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3057" w:type="dxa"/>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036"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2</w:t>
            </w:r>
          </w:p>
        </w:tc>
        <w:tc>
          <w:tcPr>
            <w:tcW w:w="3057" w:type="dxa"/>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付款方式</w:t>
            </w:r>
          </w:p>
        </w:tc>
        <w:tc>
          <w:tcPr>
            <w:tcW w:w="3057" w:type="dxa"/>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036"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3</w:t>
            </w:r>
          </w:p>
        </w:tc>
        <w:tc>
          <w:tcPr>
            <w:tcW w:w="3057" w:type="dxa"/>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质保期</w:t>
            </w:r>
          </w:p>
        </w:tc>
        <w:tc>
          <w:tcPr>
            <w:tcW w:w="3057" w:type="dxa"/>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036"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4</w:t>
            </w:r>
          </w:p>
        </w:tc>
        <w:tc>
          <w:tcPr>
            <w:tcW w:w="3057" w:type="dxa"/>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其它商务内容</w:t>
            </w:r>
          </w:p>
        </w:tc>
        <w:tc>
          <w:tcPr>
            <w:tcW w:w="3057" w:type="dxa"/>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ODVhYzU4YjI0NjFmNzIyNjk3MDhmY2Q0ZThlNm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16E670B"/>
    <w:rsid w:val="07F4170D"/>
    <w:rsid w:val="080C00CE"/>
    <w:rsid w:val="0A8E0DCD"/>
    <w:rsid w:val="0B542AE8"/>
    <w:rsid w:val="0F2C47E6"/>
    <w:rsid w:val="0FA524A7"/>
    <w:rsid w:val="11F877F0"/>
    <w:rsid w:val="164139E5"/>
    <w:rsid w:val="1B6F5E48"/>
    <w:rsid w:val="1D8A3294"/>
    <w:rsid w:val="24A4100B"/>
    <w:rsid w:val="28BB1D61"/>
    <w:rsid w:val="2A4131F8"/>
    <w:rsid w:val="2B00193E"/>
    <w:rsid w:val="3270481F"/>
    <w:rsid w:val="3513435D"/>
    <w:rsid w:val="38903BC1"/>
    <w:rsid w:val="3ADA0EC4"/>
    <w:rsid w:val="3DF801FB"/>
    <w:rsid w:val="494F6C44"/>
    <w:rsid w:val="571C7114"/>
    <w:rsid w:val="62571BBC"/>
    <w:rsid w:val="70297C0D"/>
    <w:rsid w:val="724C220A"/>
    <w:rsid w:val="797D1BBD"/>
    <w:rsid w:val="7B112774"/>
    <w:rsid w:val="7E992A33"/>
    <w:rsid w:val="7FB3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1"/>
    <w:qFormat/>
    <w:uiPriority w:val="0"/>
    <w:pPr>
      <w:ind w:firstLine="420"/>
    </w:pPr>
  </w:style>
  <w:style w:type="paragraph" w:styleId="6">
    <w:name w:val="Body Text"/>
    <w:basedOn w:val="1"/>
    <w:next w:val="2"/>
    <w:qFormat/>
    <w:uiPriority w:val="0"/>
    <w:pPr>
      <w:spacing w:after="120" w:afterLines="0"/>
    </w:pPr>
  </w:style>
  <w:style w:type="paragraph" w:styleId="7">
    <w:name w:val="Body Text Indent 2"/>
    <w:basedOn w:val="1"/>
    <w:qFormat/>
    <w:uiPriority w:val="0"/>
    <w:pPr>
      <w:autoSpaceDE w:val="0"/>
      <w:autoSpaceDN w:val="0"/>
      <w:adjustRightInd w:val="0"/>
      <w:ind w:left="1" w:firstLine="480" w:firstLineChars="200"/>
    </w:pPr>
    <w:rPr>
      <w:kern w:val="0"/>
      <w:sz w:val="24"/>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qFormat/>
    <w:uiPriority w:val="0"/>
    <w:pPr>
      <w:widowControl w:val="0"/>
      <w:spacing w:beforeAutospacing="1" w:afterAutospacing="1"/>
    </w:pPr>
    <w:rPr>
      <w:rFonts w:ascii="Calibri" w:hAnsi="Calibri" w:eastAsia="宋体" w:cs="Times New Roman"/>
      <w:sz w:val="24"/>
      <w:szCs w:val="22"/>
      <w:lang w:val="en-US" w:eastAsia="zh-CN" w:bidi="ar-SA"/>
    </w:rPr>
  </w:style>
  <w:style w:type="paragraph" w:styleId="13">
    <w:name w:val="List Paragraph"/>
    <w:basedOn w:val="1"/>
    <w:qFormat/>
    <w:uiPriority w:val="34"/>
    <w:pPr>
      <w:spacing w:line="360" w:lineRule="auto"/>
      <w:ind w:firstLine="420" w:firstLineChars="200"/>
    </w:pPr>
    <w:rPr>
      <w:sz w:val="24"/>
    </w:rPr>
  </w:style>
  <w:style w:type="character" w:customStyle="1" w:styleId="14">
    <w:name w:val="font11"/>
    <w:basedOn w:val="1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19</Pages>
  <Words>4607</Words>
  <Characters>5569</Characters>
  <Lines>21</Lines>
  <Paragraphs>6</Paragraphs>
  <TotalTime>2</TotalTime>
  <ScaleCrop>false</ScaleCrop>
  <LinksUpToDate>false</LinksUpToDate>
  <CharactersWithSpaces>6228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沉秋</cp:lastModifiedBy>
  <cp:lastPrinted>2022-08-12T07:10:00Z</cp:lastPrinted>
  <dcterms:modified xsi:type="dcterms:W3CDTF">2022-08-15T02:57:56Z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48CF5B86898F4939A63B0EDFE8F0824F</vt:lpwstr>
  </property>
</Properties>
</file>