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《GKGYL2023SZJDZBLZX3WZ2023-016》号业务暖通设备采购项目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三</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《GKGYL2023SZJDZBLZX3WZ2023-016》号业务暖通设备采购项目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22</w:t>
            </w:r>
            <w:r>
              <w:rPr>
                <w:rFonts w:hint="eastAsia" w:ascii="宋体" w:hAnsi="宋体" w:eastAsia="宋体" w:cs="宋体"/>
                <w:b w:val="0"/>
                <w:bCs w:val="0"/>
                <w:kern w:val="2"/>
                <w:sz w:val="21"/>
                <w:szCs w:val="24"/>
                <w:highlight w:val="none"/>
                <w:lang w:val="en-US" w:eastAsia="zh-CN" w:bidi="ar-SA"/>
              </w:rPr>
              <w:t>日至202</w:t>
            </w:r>
            <w:r>
              <w:rPr>
                <w:rFonts w:hint="eastAsia" w:ascii="宋体" w:hAnsi="宋体" w:cs="宋体"/>
                <w:b w:val="0"/>
                <w:bCs w:val="0"/>
                <w:kern w:val="2"/>
                <w:sz w:val="21"/>
                <w:szCs w:val="24"/>
                <w:highlight w:val="none"/>
                <w:lang w:val="en-US" w:eastAsia="zh-CN" w:bidi="ar-SA"/>
              </w:rPr>
              <w:t>3年3</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24</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4"/>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4"/>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3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27</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5241f23c70ca49fe97153efcf2d9a7fd"/>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人委托</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委员会直接确定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p>
            <w:pPr>
              <w:rPr>
                <w:rFonts w:ascii="宋体" w:hAnsi="宋体" w:cs="宋体"/>
                <w:color w:val="000000"/>
                <w:kern w:val="0"/>
                <w:sz w:val="24"/>
                <w:highlight w:val="none"/>
              </w:rPr>
            </w:pPr>
            <w:bookmarkStart w:id="6" w:name="EB0d3050e5b15645b7a74207559e7b071a"/>
            <w:r>
              <w:rPr>
                <w:rFonts w:hint="eastAsia" w:ascii="宋体" w:hAnsi="宋体" w:cs="宋体"/>
                <w:color w:val="000000"/>
                <w:kern w:val="0"/>
                <w:sz w:val="24"/>
                <w:highlight w:val="none"/>
              </w:rPr>
              <w:t xml:space="preserve"> </w:t>
            </w:r>
            <w:r>
              <w:rPr>
                <w:rFonts w:hint="eastAsia" w:ascii="MS Mincho" w:hAnsi="MS Mincho" w:cs="MS Mincho"/>
                <w:color w:val="000000"/>
                <w:kern w:val="0"/>
                <w:sz w:val="24"/>
                <w:highlight w:val="none"/>
                <w:lang w:eastAsia="zh-CN"/>
              </w:rPr>
              <w:t>□</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6"/>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tbl>
      <w:tblPr>
        <w:tblStyle w:val="9"/>
        <w:tblpPr w:leftFromText="180" w:rightFromText="180" w:vertAnchor="text" w:horzAnchor="page" w:tblpX="1387" w:tblpY="15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2099"/>
        <w:gridCol w:w="2228"/>
        <w:gridCol w:w="576"/>
        <w:gridCol w:w="1386"/>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设备材料名称</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含税单价(元）</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生产厂家及品牌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螺杆式风冷热泵机组</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SHAF360H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781443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离心式泵</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ISW200-315(I)A</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37965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真空泵</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ISW200-315(I)A</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60824.43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循环水处理及加药设备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DLDY-1400 -L-1-0.6-2和DLJY-0.5*2/ 12*2-A</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51380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卧式暗装风机盘管（两管制）FP-68</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FP-68WA-3-G30/BXH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卧式暗装风机盘管（两管制）FP-136</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FP-136WA-3-G30/BXH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卧式暗装风机盘管（两管制）FP-170</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FP-170WA-3-G30/BXH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卧式暗装风机盘管（两管制）FP-238</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FP-238WA-3-G30/BXH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吊装式空调箱（全回风型）（两管制）DK2000</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MKS02D6Y/DP6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吊装式空调箱（全回风型）（两管制）DK4000</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MKS04D4Y/DP6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吊装式新风空调箱（两管制）总风量2000m3/h，机外静压ESP280Pa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MKS02D6Y/DP6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吊装式新风空调箱（两管制）总风量4000m3/h，机外静压ESP320Pa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MKS04D4Y/DP6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吊装式新风空调箱（两管制）总风量5000m3/h，机外静压ESP310Pa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MKS05D4Y/DP6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吊装式新风空调箱（两管制）总风量6000m3/h，机外静压ESP300Pa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MKS06D4Y/DP6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吊装式新风空调箱（两管制）总风量6000m3/h，机外静压ESP300Pa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MKS06D4Y/DP6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吊装式新风空调箱（两管制）总风量1500m3/h，机外静压ESP225Pa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MKS02D6Y/DP6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AHU空调箱39G1824</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MKZ1622DAW</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70163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AHU空调箱39G2025</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MKZ1824DAW</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78118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风管机</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百叶风口</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 </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鑫诺风及同等品牌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钢管类</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新冶及同等品牌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3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镀锌管</w:t>
            </w:r>
          </w:p>
        </w:tc>
        <w:tc>
          <w:tcPr>
            <w:tcW w:w="130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 </w:t>
            </w:r>
          </w:p>
        </w:tc>
        <w:tc>
          <w:tcPr>
            <w:tcW w:w="97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华岐及同等品牌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3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1307"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3"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 </w:t>
            </w:r>
          </w:p>
        </w:tc>
        <w:tc>
          <w:tcPr>
            <w:tcW w:w="971" w:type="pc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高艺及同等品牌</w:t>
            </w:r>
          </w:p>
        </w:tc>
      </w:tr>
    </w:tbl>
    <w:p>
      <w:pPr>
        <w:pStyle w:val="3"/>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r>
        <w:rPr>
          <w:rFonts w:hint="eastAsia" w:ascii="仿宋_GB2312" w:hAnsi="仿宋_GB2312" w:eastAsia="仿宋_GB2312" w:cs="仿宋_GB2312"/>
          <w:b w:val="0"/>
          <w:bCs/>
          <w:kern w:val="2"/>
          <w:sz w:val="32"/>
          <w:szCs w:val="32"/>
          <w:highlight w:val="none"/>
          <w:lang w:val="en-US" w:eastAsia="zh-CN" w:bidi="ar-SA"/>
        </w:rPr>
        <w:t>暖通设备</w:t>
      </w:r>
    </w:p>
    <w:p>
      <w:pPr>
        <w:pStyle w:val="3"/>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6"/>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6"/>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6"/>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6"/>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6"/>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r>
        <w:rPr>
          <w:rFonts w:hint="eastAsia" w:ascii="仿宋_GB2312" w:hAnsi="仿宋_GB2312" w:eastAsia="仿宋_GB2312" w:cs="仿宋_GB2312"/>
          <w:sz w:val="32"/>
          <w:szCs w:val="32"/>
          <w:highlight w:val="none"/>
          <w:lang w:val="en-US" w:eastAsia="zh-CN"/>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递交报价文件在三家及以上时，按以下程序评审：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pStyle w:val="13"/>
        <w:spacing w:line="360" w:lineRule="auto"/>
        <w:ind w:firstLine="480"/>
        <w:outlineLvl w:val="1"/>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4、付款方式：</w:t>
      </w:r>
      <w:r>
        <w:rPr>
          <w:rFonts w:hint="eastAsia" w:ascii="仿宋_GB2312" w:hAnsi="仿宋_GB2312" w:eastAsia="仿宋_GB2312" w:cs="仿宋_GB2312"/>
          <w:color w:val="000000"/>
          <w:kern w:val="0"/>
          <w:sz w:val="32"/>
          <w:szCs w:val="32"/>
          <w:highlight w:val="none"/>
          <w:lang w:val="en-US" w:eastAsia="zh-CN" w:bidi="ar-SA"/>
        </w:rPr>
        <w:t>款到发货，转账或经甲方认可且不超过六个月期限的银行承兑汇票。</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numPr>
          <w:ilvl w:val="0"/>
          <w:numId w:val="3"/>
        </w:numPr>
        <w:jc w:val="center"/>
        <w:rPr>
          <w:rFonts w:hint="eastAsia"/>
          <w:highlight w:val="none"/>
          <w:lang w:val="en-US" w:eastAsia="zh-CN"/>
        </w:rPr>
      </w:pPr>
      <w:r>
        <w:rPr>
          <w:rFonts w:hint="eastAsia"/>
          <w:highlight w:val="none"/>
          <w:lang w:val="en-US" w:eastAsia="zh-CN"/>
        </w:rPr>
        <w:t>报价单</w:t>
      </w:r>
    </w:p>
    <w:p>
      <w:pPr>
        <w:widowControl w:val="0"/>
        <w:numPr>
          <w:ilvl w:val="0"/>
          <w:numId w:val="0"/>
        </w:numPr>
        <w:jc w:val="both"/>
        <w:rPr>
          <w:rFonts w:hint="default"/>
          <w:highlight w:val="none"/>
          <w:lang w:val="en-US" w:eastAsia="zh-CN"/>
        </w:rPr>
      </w:pPr>
    </w:p>
    <w:p>
      <w:pPr>
        <w:spacing w:line="432"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668"/>
        <w:gridCol w:w="951"/>
        <w:gridCol w:w="1071"/>
        <w:gridCol w:w="1171"/>
        <w:gridCol w:w="1013"/>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82" w:hRule="atLeast"/>
          <w:jc w:val="center"/>
        </w:trPr>
        <w:tc>
          <w:tcPr>
            <w:tcW w:w="464"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品目号</w:t>
            </w:r>
          </w:p>
        </w:tc>
        <w:tc>
          <w:tcPr>
            <w:tcW w:w="1565"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558"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628"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总报价</w:t>
            </w:r>
          </w:p>
        </w:tc>
        <w:tc>
          <w:tcPr>
            <w:tcW w:w="687"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594"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交货</w:t>
            </w:r>
          </w:p>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地点</w:t>
            </w:r>
          </w:p>
        </w:tc>
        <w:tc>
          <w:tcPr>
            <w:tcW w:w="501"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92" w:hRule="atLeast"/>
          <w:jc w:val="center"/>
        </w:trPr>
        <w:tc>
          <w:tcPr>
            <w:tcW w:w="464" w:type="pct"/>
            <w:noWrap w:val="0"/>
            <w:vAlign w:val="top"/>
          </w:tcPr>
          <w:p>
            <w:pPr>
              <w:spacing w:line="432" w:lineRule="auto"/>
              <w:rPr>
                <w:rFonts w:hint="eastAsia" w:ascii="仿宋" w:hAnsi="仿宋" w:eastAsia="仿宋" w:cs="仿宋"/>
                <w:sz w:val="28"/>
                <w:highlight w:val="none"/>
              </w:rPr>
            </w:pPr>
          </w:p>
        </w:tc>
        <w:tc>
          <w:tcPr>
            <w:tcW w:w="1565" w:type="pct"/>
            <w:noWrap w:val="0"/>
            <w:vAlign w:val="top"/>
          </w:tcPr>
          <w:p>
            <w:pPr>
              <w:spacing w:line="432" w:lineRule="auto"/>
              <w:rPr>
                <w:rFonts w:hint="eastAsia" w:ascii="仿宋" w:hAnsi="仿宋" w:eastAsia="仿宋" w:cs="仿宋"/>
                <w:sz w:val="28"/>
                <w:highlight w:val="none"/>
              </w:rPr>
            </w:pPr>
          </w:p>
        </w:tc>
        <w:tc>
          <w:tcPr>
            <w:tcW w:w="558" w:type="pct"/>
            <w:noWrap w:val="0"/>
            <w:vAlign w:val="top"/>
          </w:tcPr>
          <w:p>
            <w:pPr>
              <w:spacing w:line="432" w:lineRule="auto"/>
              <w:rPr>
                <w:rFonts w:hint="eastAsia" w:ascii="仿宋" w:hAnsi="仿宋" w:eastAsia="仿宋" w:cs="仿宋"/>
                <w:sz w:val="28"/>
                <w:highlight w:val="none"/>
              </w:rPr>
            </w:pPr>
          </w:p>
        </w:tc>
        <w:tc>
          <w:tcPr>
            <w:tcW w:w="628" w:type="pct"/>
            <w:noWrap w:val="0"/>
            <w:vAlign w:val="top"/>
          </w:tcPr>
          <w:p>
            <w:pPr>
              <w:spacing w:line="432" w:lineRule="auto"/>
              <w:rPr>
                <w:rFonts w:hint="eastAsia" w:ascii="仿宋" w:hAnsi="仿宋" w:eastAsia="仿宋" w:cs="仿宋"/>
                <w:sz w:val="28"/>
                <w:highlight w:val="none"/>
              </w:rPr>
            </w:pPr>
          </w:p>
        </w:tc>
        <w:tc>
          <w:tcPr>
            <w:tcW w:w="687" w:type="pct"/>
            <w:noWrap w:val="0"/>
            <w:vAlign w:val="top"/>
          </w:tcPr>
          <w:p>
            <w:pPr>
              <w:spacing w:line="432" w:lineRule="auto"/>
              <w:rPr>
                <w:rFonts w:hint="eastAsia" w:ascii="仿宋" w:hAnsi="仿宋" w:eastAsia="仿宋" w:cs="仿宋"/>
                <w:sz w:val="28"/>
                <w:highlight w:val="none"/>
              </w:rPr>
            </w:pPr>
          </w:p>
        </w:tc>
        <w:tc>
          <w:tcPr>
            <w:tcW w:w="594" w:type="pct"/>
            <w:noWrap w:val="0"/>
            <w:vAlign w:val="top"/>
          </w:tcPr>
          <w:p>
            <w:pPr>
              <w:spacing w:line="432" w:lineRule="auto"/>
              <w:rPr>
                <w:rFonts w:hint="eastAsia" w:ascii="仿宋" w:hAnsi="仿宋" w:eastAsia="仿宋" w:cs="仿宋"/>
                <w:sz w:val="28"/>
                <w:highlight w:val="none"/>
              </w:rPr>
            </w:pPr>
          </w:p>
        </w:tc>
        <w:tc>
          <w:tcPr>
            <w:tcW w:w="501" w:type="pct"/>
            <w:noWrap w:val="0"/>
            <w:vAlign w:val="top"/>
          </w:tcPr>
          <w:p>
            <w:pPr>
              <w:spacing w:line="432" w:lineRule="auto"/>
              <w:rPr>
                <w:rFonts w:hint="eastAsia" w:ascii="仿宋" w:hAnsi="仿宋" w:eastAsia="仿宋" w:cs="仿宋"/>
                <w:sz w:val="28"/>
                <w:highlight w:val="none"/>
              </w:rPr>
            </w:pPr>
          </w:p>
        </w:tc>
      </w:tr>
    </w:tbl>
    <w:p>
      <w:pPr>
        <w:spacing w:line="460" w:lineRule="exact"/>
        <w:ind w:left="-2" w:leftChars="-50" w:hanging="103" w:hangingChars="43"/>
        <w:rPr>
          <w:rFonts w:hint="eastAsia" w:ascii="仿宋" w:hAnsi="仿宋" w:eastAsia="仿宋" w:cs="仿宋"/>
          <w:i/>
          <w:sz w:val="24"/>
          <w:highlight w:val="none"/>
        </w:rPr>
      </w:pPr>
    </w:p>
    <w:p>
      <w:pPr>
        <w:spacing w:line="460" w:lineRule="exact"/>
        <w:ind w:left="-2" w:leftChars="-50" w:hanging="103" w:hangingChars="43"/>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60" w:lineRule="exact"/>
        <w:rPr>
          <w:rFonts w:hint="default"/>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2、</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4"/>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4"/>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2"/>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3、技术文件部分</w:t>
      </w:r>
    </w:p>
    <w:p>
      <w:pPr>
        <w:pStyle w:val="4"/>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3.2法定代表人授权委托书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4"/>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四、商务文件组成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4.1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B5360820"/>
    <w:multiLevelType w:val="singleLevel"/>
    <w:tmpl w:val="B5360820"/>
    <w:lvl w:ilvl="0" w:tentative="0">
      <w:start w:val="2"/>
      <w:numFmt w:val="decimal"/>
      <w:suff w:val="nothing"/>
      <w:lvlText w:val="%1、"/>
      <w:lvlJc w:val="left"/>
    </w:lvl>
  </w:abstractNum>
  <w:abstractNum w:abstractNumId="2">
    <w:nsid w:val="DE31C6BB"/>
    <w:multiLevelType w:val="singleLevel"/>
    <w:tmpl w:val="DE31C6BB"/>
    <w:lvl w:ilvl="0" w:tentative="0">
      <w:start w:val="1"/>
      <w:numFmt w:val="decimal"/>
      <w:suff w:val="nothing"/>
      <w:lvlText w:val="%1、"/>
      <w:lvlJc w:val="left"/>
    </w:lvl>
  </w:abstractNum>
  <w:abstractNum w:abstractNumId="3">
    <w:nsid w:val="57B8218A"/>
    <w:multiLevelType w:val="singleLevel"/>
    <w:tmpl w:val="57B8218A"/>
    <w:lvl w:ilvl="0" w:tentative="0">
      <w:start w:val="1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17117FD"/>
    <w:rsid w:val="02F707E4"/>
    <w:rsid w:val="05FD6C3B"/>
    <w:rsid w:val="06436B70"/>
    <w:rsid w:val="07F4170D"/>
    <w:rsid w:val="080C00CE"/>
    <w:rsid w:val="0B542AE8"/>
    <w:rsid w:val="0F662E13"/>
    <w:rsid w:val="10AE3F3F"/>
    <w:rsid w:val="15A55E2C"/>
    <w:rsid w:val="15CA5A57"/>
    <w:rsid w:val="164139E5"/>
    <w:rsid w:val="180034EF"/>
    <w:rsid w:val="1A221EEC"/>
    <w:rsid w:val="1B6F5E48"/>
    <w:rsid w:val="1F1F7E61"/>
    <w:rsid w:val="21784B2D"/>
    <w:rsid w:val="217D2A54"/>
    <w:rsid w:val="21902CCC"/>
    <w:rsid w:val="25407E4A"/>
    <w:rsid w:val="26BA7B04"/>
    <w:rsid w:val="279751BB"/>
    <w:rsid w:val="2B00193E"/>
    <w:rsid w:val="2B21130F"/>
    <w:rsid w:val="2D105994"/>
    <w:rsid w:val="2F6E275E"/>
    <w:rsid w:val="32FB4E24"/>
    <w:rsid w:val="37114C06"/>
    <w:rsid w:val="372C358B"/>
    <w:rsid w:val="38903BC1"/>
    <w:rsid w:val="3D240424"/>
    <w:rsid w:val="3E7F640C"/>
    <w:rsid w:val="41825C12"/>
    <w:rsid w:val="46024742"/>
    <w:rsid w:val="494F6C44"/>
    <w:rsid w:val="4A9E3029"/>
    <w:rsid w:val="4D6C7200"/>
    <w:rsid w:val="5216290A"/>
    <w:rsid w:val="52464A64"/>
    <w:rsid w:val="546F27C6"/>
    <w:rsid w:val="54D25D5A"/>
    <w:rsid w:val="571C7114"/>
    <w:rsid w:val="58713CE0"/>
    <w:rsid w:val="598361E9"/>
    <w:rsid w:val="5A1A2DB7"/>
    <w:rsid w:val="60356A59"/>
    <w:rsid w:val="62571BBC"/>
    <w:rsid w:val="64386E3F"/>
    <w:rsid w:val="646D3B32"/>
    <w:rsid w:val="69731B12"/>
    <w:rsid w:val="69734B4A"/>
    <w:rsid w:val="7242754A"/>
    <w:rsid w:val="797D1BBD"/>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next w:val="1"/>
    <w:qFormat/>
    <w:uiPriority w:val="0"/>
    <w:pPr>
      <w:ind w:firstLine="420"/>
    </w:pPr>
  </w:style>
  <w:style w:type="paragraph" w:styleId="6">
    <w:name w:val="Body Text Indent 2"/>
    <w:basedOn w:val="1"/>
    <w:qFormat/>
    <w:uiPriority w:val="0"/>
    <w:pPr>
      <w:autoSpaceDE w:val="0"/>
      <w:autoSpaceDN w:val="0"/>
      <w:adjustRightInd w:val="0"/>
      <w:ind w:left="1" w:firstLine="480" w:firstLineChars="200"/>
    </w:pPr>
    <w:rPr>
      <w:kern w:val="0"/>
      <w:sz w:val="24"/>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16</Pages>
  <Words>3322</Words>
  <Characters>3925</Characters>
  <Lines>21</Lines>
  <Paragraphs>6</Paragraphs>
  <TotalTime>5</TotalTime>
  <ScaleCrop>false</ScaleCrop>
  <LinksUpToDate>false</LinksUpToDate>
  <CharactersWithSpaces>4731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徐梦婷006161</cp:lastModifiedBy>
  <cp:lastPrinted>2022-07-26T01:40:00Z</cp:lastPrinted>
  <dcterms:modified xsi:type="dcterms:W3CDTF">2023-03-23T06:48:34Z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368B8B4FF251409F91372A15B14E0A4C</vt:lpwstr>
  </property>
</Properties>
</file>