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《GKGYL04 03 2022 007 06 010》号业务消防设备材料采购项目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《GKGYL04 03 2022 007 06 010》号业务消防设备材料采购项目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询比议价（至少推荐两家单位）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9</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3年8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11</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8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18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10</w:t>
            </w:r>
            <w:bookmarkStart w:id="12" w:name="_GoBack"/>
            <w:bookmarkEnd w:id="12"/>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96"/>
        <w:gridCol w:w="2616"/>
        <w:gridCol w:w="456"/>
        <w:gridCol w:w="456"/>
        <w:gridCol w:w="1056"/>
        <w:gridCol w:w="576"/>
        <w:gridCol w:w="10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序号</w:t>
            </w:r>
          </w:p>
        </w:tc>
        <w:tc>
          <w:tcPr>
            <w:tcW w:w="687"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rPr>
              <w:t>材料名称</w:t>
            </w:r>
          </w:p>
        </w:tc>
        <w:tc>
          <w:tcPr>
            <w:tcW w:w="2572"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rPr>
              <w:t>规格</w:t>
            </w:r>
          </w:p>
        </w:tc>
        <w:tc>
          <w:tcPr>
            <w:tcW w:w="452"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品牌</w:t>
            </w:r>
          </w:p>
        </w:tc>
        <w:tc>
          <w:tcPr>
            <w:tcW w:w="452"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单位</w:t>
            </w:r>
          </w:p>
        </w:tc>
        <w:tc>
          <w:tcPr>
            <w:tcW w:w="1041"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仅不含增值税单价</w:t>
            </w:r>
          </w:p>
        </w:tc>
        <w:tc>
          <w:tcPr>
            <w:tcW w:w="569"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税率</w:t>
            </w:r>
          </w:p>
        </w:tc>
        <w:tc>
          <w:tcPr>
            <w:tcW w:w="1041"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含税单价</w:t>
            </w:r>
          </w:p>
        </w:tc>
        <w:tc>
          <w:tcPr>
            <w:tcW w:w="452" w:type="dxa"/>
            <w:vAlign w:val="center"/>
          </w:tcPr>
          <w:p>
            <w:pPr>
              <w:pStyle w:val="2"/>
              <w:numPr>
                <w:ilvl w:val="0"/>
                <w:numId w:val="0"/>
              </w:numPr>
              <w:ind w:left="0" w:leftChars="0" w:firstLine="0" w:firstLineChars="0"/>
              <w:jc w:val="center"/>
              <w:rPr>
                <w:rFonts w:hint="eastAsia"/>
                <w:vertAlign w:val="baseline"/>
              </w:rPr>
            </w:pPr>
            <w:r>
              <w:rPr>
                <w:rFonts w:hint="eastAsia" w:ascii="宋体" w:hAnsi="宋体" w:eastAsia="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直立式喷头</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K=115、DN20、68℃ 公称直径(mm以内) 20mm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18.69</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21.11</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挡烟垂壁</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硅钛布50mm厚</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253.27</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286.20</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3</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点型烟感探测器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感烟TX3100C</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泰和安</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29.57</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33.42</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4</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电动挡烟垂壁</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硅钛布50mm厚</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443.23</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500.86</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5</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电缆</w:t>
            </w:r>
          </w:p>
        </w:tc>
        <w:tc>
          <w:tcPr>
            <w:tcW w:w="25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WDZCN-BYJ-1.5</w:t>
            </w:r>
          </w:p>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截面(mm2) ≤1.5</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太平洋</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2.26</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6</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电缆</w:t>
            </w:r>
          </w:p>
        </w:tc>
        <w:tc>
          <w:tcPr>
            <w:tcW w:w="25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WDZCN-RYSP-2X1.5</w:t>
            </w:r>
          </w:p>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截面(mm2) ≤2.5</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太平洋</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4.43</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5.01</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7</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电缆</w:t>
            </w:r>
          </w:p>
        </w:tc>
        <w:tc>
          <w:tcPr>
            <w:tcW w:w="25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WDZBN-RYJS-2X1.5</w:t>
            </w:r>
          </w:p>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截面(mm2) ≤1.5</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太平洋</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4.34</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4.90</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8</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电缆</w:t>
            </w:r>
          </w:p>
        </w:tc>
        <w:tc>
          <w:tcPr>
            <w:tcW w:w="25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WDZCN-BYJ-2.5</w:t>
            </w:r>
          </w:p>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截面(mm2) ≤2.5</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太平洋</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5.16</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5.83</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9</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镀锌薄钢板</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43.74</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49.43</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10</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 xml:space="preserve">镀锌薄钢板 </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7.5mm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32.76</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37.02</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11</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 xml:space="preserve">镀锌薄钢板 </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12mm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52.49</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59.31</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12</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 xml:space="preserve">镀锌薄钢板 </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15mm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65.64</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74.17</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13</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镀锌钢管SC20</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DN20 15mm</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华岐</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7.11</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8.03</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14</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防火卷帘</w:t>
            </w:r>
          </w:p>
        </w:tc>
        <w:tc>
          <w:tcPr>
            <w:tcW w:w="25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无机布复合双轨双帘防火卷帘1# 6.2m*3m  1、按国家标准GB14102-93判定。</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2、条件:耐火时间有2小时以上，并无丧失完整性。</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3、隔烟性能按GB7107试验结果表明，空气渗透量小于0.2立方厘米每分钟。</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4、强度试验表明:抗风压80-120Kg每平方。</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5、启动速度:上升3-5m/ min，下降5-6m/ min。</w:t>
            </w:r>
          </w:p>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6、平均噪声:小于60db。</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138.51</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156.52</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15</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钢丝网骨架复合管</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DN 160</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366.49</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414.13</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16</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减压稳压消火栓</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DN 65</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754.56</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852.65</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17</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角钢</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(综合)</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t</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4807.60</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5432.59</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18</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静压箱</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2500mm*1700mm*700mm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3799.18</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4293.07</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19</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静压箱</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2400mm*2400mm*600mm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4770.07</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5390.18</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20</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内外热浸镀锌钢管</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DN65 35mm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40.13</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45.34</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21</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内外热浸镀锌钢管</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DN150  35mm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107.59</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121.57</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22</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内外热浸镀锌钢管</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DN100   35mm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61.44</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69.43</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23</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2400mm*400mm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1055.33</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1192.52</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24</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1250mm*630mm法兰接口1250mm*500mm风速6750～22500外形接口1500mm*850mm*1600mm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1160.86</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1311.78</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25</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1250mm*1250mm法兰接口1250mm*1000mm风速13500～45000外形接口1500mm*1400mm*1600mm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1899.59</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2146.53</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26</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1800mm*630mm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1899.59</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2146.53</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27</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630mm*320mm 法兰接口  630mm*250mm风速1701～5670外形接口 970mm*460mm*1450mm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1921.75</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2171.58</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28</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2200mm*500mm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2140.21</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2418.43</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29</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1600mm*800mm法兰接口1600mm*800mm风速13824～46080外形接口1120mm*1600mm*1600mm</w:t>
            </w:r>
          </w:p>
        </w:tc>
        <w:tc>
          <w:tcPr>
            <w:tcW w:w="45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2110.66</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2385.04</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30</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2000mm*500mm</w:t>
            </w:r>
          </w:p>
        </w:tc>
        <w:tc>
          <w:tcPr>
            <w:tcW w:w="452" w:type="dxa"/>
            <w:vAlign w:val="center"/>
          </w:tcPr>
          <w:p>
            <w:pPr>
              <w:jc w:val="center"/>
              <w:rPr>
                <w:rFonts w:hint="eastAsia" w:asciiTheme="minorEastAsia" w:hAnsiTheme="minorEastAsia" w:eastAsiaTheme="minorEastAsia" w:cstheme="minorEastAsia"/>
                <w:sz w:val="24"/>
                <w:szCs w:val="24"/>
                <w:vertAlign w:val="baseline"/>
              </w:rPr>
            </w:pP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2216.18</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2504.29</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31</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1000mm*1250mm</w:t>
            </w:r>
          </w:p>
        </w:tc>
        <w:tc>
          <w:tcPr>
            <w:tcW w:w="452" w:type="dxa"/>
            <w:vAlign w:val="center"/>
          </w:tcPr>
          <w:p>
            <w:pPr>
              <w:jc w:val="center"/>
              <w:rPr>
                <w:rFonts w:hint="eastAsia" w:asciiTheme="minorEastAsia" w:hAnsiTheme="minorEastAsia" w:eastAsiaTheme="minorEastAsia" w:cstheme="minorEastAsia"/>
                <w:sz w:val="24"/>
                <w:szCs w:val="24"/>
                <w:vertAlign w:val="baseline"/>
              </w:rPr>
            </w:pP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2532.78</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2862.04</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32</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2000mm*630mm</w:t>
            </w:r>
          </w:p>
        </w:tc>
        <w:tc>
          <w:tcPr>
            <w:tcW w:w="452" w:type="dxa"/>
            <w:vAlign w:val="center"/>
          </w:tcPr>
          <w:p>
            <w:pPr>
              <w:jc w:val="center"/>
              <w:rPr>
                <w:rFonts w:hint="eastAsia" w:asciiTheme="minorEastAsia" w:hAnsiTheme="minorEastAsia" w:eastAsiaTheme="minorEastAsia" w:cstheme="minorEastAsia"/>
                <w:sz w:val="24"/>
                <w:szCs w:val="24"/>
                <w:vertAlign w:val="baseline"/>
              </w:rPr>
            </w:pP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1728.62</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1953.35</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33</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消声器</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XZP-100-1.0m 1250mm*800mm法兰接口1250mm*630mm风速8505～28350外形接口1500mm*950mm*1600mm</w:t>
            </w:r>
          </w:p>
        </w:tc>
        <w:tc>
          <w:tcPr>
            <w:tcW w:w="452" w:type="dxa"/>
            <w:vAlign w:val="center"/>
          </w:tcPr>
          <w:p>
            <w:pPr>
              <w:jc w:val="center"/>
              <w:rPr>
                <w:rFonts w:hint="eastAsia" w:asciiTheme="minorEastAsia" w:hAnsiTheme="minorEastAsia" w:eastAsiaTheme="minorEastAsia" w:cstheme="minorEastAsia"/>
                <w:sz w:val="24"/>
                <w:szCs w:val="24"/>
                <w:vertAlign w:val="baseline"/>
              </w:rPr>
            </w:pP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1728.62</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1953.35</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34</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消声弯头</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1250mm*1000mm  90°</w:t>
            </w:r>
          </w:p>
        </w:tc>
        <w:tc>
          <w:tcPr>
            <w:tcW w:w="452" w:type="dxa"/>
            <w:vAlign w:val="center"/>
          </w:tcPr>
          <w:p>
            <w:pPr>
              <w:jc w:val="center"/>
              <w:rPr>
                <w:rFonts w:hint="eastAsia" w:asciiTheme="minorEastAsia" w:hAnsiTheme="minorEastAsia" w:eastAsiaTheme="minorEastAsia" w:cstheme="minorEastAsia"/>
                <w:sz w:val="24"/>
                <w:szCs w:val="24"/>
                <w:vertAlign w:val="baseline"/>
              </w:rPr>
            </w:pP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1921.75</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2171.58</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35</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型钢</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(综合)</w:t>
            </w:r>
          </w:p>
        </w:tc>
        <w:tc>
          <w:tcPr>
            <w:tcW w:w="452" w:type="dxa"/>
            <w:vAlign w:val="center"/>
          </w:tcPr>
          <w:p>
            <w:pPr>
              <w:jc w:val="center"/>
              <w:rPr>
                <w:rFonts w:hint="eastAsia" w:asciiTheme="minorEastAsia" w:hAnsiTheme="minorEastAsia" w:eastAsiaTheme="minorEastAsia" w:cstheme="minorEastAsia"/>
                <w:sz w:val="24"/>
                <w:szCs w:val="24"/>
                <w:vertAlign w:val="baseline"/>
              </w:rPr>
            </w:pP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t</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4524.30</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5112.45</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36</w:t>
            </w:r>
          </w:p>
        </w:tc>
        <w:tc>
          <w:tcPr>
            <w:tcW w:w="687"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应急疏散指示标志灯(双面)</w:t>
            </w:r>
          </w:p>
        </w:tc>
        <w:tc>
          <w:tcPr>
            <w:tcW w:w="2572" w:type="dxa"/>
            <w:vAlign w:val="center"/>
          </w:tcPr>
          <w:p>
            <w:pPr>
              <w:keepNext w:val="0"/>
              <w:keepLines w:val="0"/>
              <w:widowControl/>
              <w:suppressLineNumbers w:val="0"/>
              <w:jc w:val="center"/>
              <w:textAlignment w:val="center"/>
              <w:rPr>
                <w:rFonts w:hint="eastAsia"/>
                <w:vertAlign w:val="baseline"/>
              </w:rPr>
            </w:pPr>
            <w:r>
              <w:rPr>
                <w:rFonts w:hint="eastAsia" w:ascii="仿宋" w:hAnsi="仿宋" w:eastAsia="仿宋" w:cs="仿宋"/>
                <w:i w:val="0"/>
                <w:iCs w:val="0"/>
                <w:color w:val="000000"/>
                <w:kern w:val="0"/>
                <w:sz w:val="24"/>
                <w:szCs w:val="24"/>
                <w:u w:val="none"/>
                <w:lang w:val="en-US" w:eastAsia="zh-CN" w:bidi="ar"/>
              </w:rPr>
              <w:t>1W</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泛海三江</w:t>
            </w:r>
          </w:p>
        </w:tc>
        <w:tc>
          <w:tcPr>
            <w:tcW w:w="45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24.75</w:t>
            </w:r>
          </w:p>
        </w:tc>
        <w:tc>
          <w:tcPr>
            <w:tcW w:w="569" w:type="dxa"/>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10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27.96</w:t>
            </w:r>
          </w:p>
        </w:tc>
        <w:tc>
          <w:tcPr>
            <w:tcW w:w="452" w:type="dxa"/>
            <w:vAlign w:val="center"/>
          </w:tcPr>
          <w:p>
            <w:pPr>
              <w:pStyle w:val="2"/>
              <w:jc w:val="center"/>
              <w:rPr>
                <w:rFonts w:hint="eastAsia" w:asciiTheme="minorEastAsia" w:hAnsiTheme="minorEastAsia" w:eastAsiaTheme="minorEastAsia" w:cstheme="minorEastAsia"/>
                <w:sz w:val="24"/>
                <w:szCs w:val="24"/>
                <w:vertAlign w:val="baseline"/>
              </w:rPr>
            </w:pPr>
          </w:p>
        </w:tc>
      </w:tr>
    </w:tbl>
    <w:p>
      <w:pPr>
        <w:pStyle w:val="5"/>
        <w:jc w:val="both"/>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9"/>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9"/>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递交报价文件在7家及以上时，按以下程序评审：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B962016"/>
    <w:rsid w:val="0F662E13"/>
    <w:rsid w:val="10AE3F3F"/>
    <w:rsid w:val="15A55E2C"/>
    <w:rsid w:val="15CA5A57"/>
    <w:rsid w:val="164139E5"/>
    <w:rsid w:val="180034EF"/>
    <w:rsid w:val="1A221EEC"/>
    <w:rsid w:val="1B6F5E48"/>
    <w:rsid w:val="1CEB05EF"/>
    <w:rsid w:val="1F1F7E61"/>
    <w:rsid w:val="21784B2D"/>
    <w:rsid w:val="21902CCC"/>
    <w:rsid w:val="23305C26"/>
    <w:rsid w:val="25407E4A"/>
    <w:rsid w:val="261C7978"/>
    <w:rsid w:val="26BA7B04"/>
    <w:rsid w:val="279751BB"/>
    <w:rsid w:val="2B00193E"/>
    <w:rsid w:val="2B21130F"/>
    <w:rsid w:val="2D105994"/>
    <w:rsid w:val="2F6E275E"/>
    <w:rsid w:val="30EE0425"/>
    <w:rsid w:val="32FB4E24"/>
    <w:rsid w:val="346A08B7"/>
    <w:rsid w:val="37114C06"/>
    <w:rsid w:val="372C358B"/>
    <w:rsid w:val="38903BC1"/>
    <w:rsid w:val="3D000F46"/>
    <w:rsid w:val="3D240424"/>
    <w:rsid w:val="3E7F640C"/>
    <w:rsid w:val="41825C12"/>
    <w:rsid w:val="46024742"/>
    <w:rsid w:val="494F6C44"/>
    <w:rsid w:val="4A9E3029"/>
    <w:rsid w:val="4D6C7200"/>
    <w:rsid w:val="5216290A"/>
    <w:rsid w:val="52464A64"/>
    <w:rsid w:val="546F27C6"/>
    <w:rsid w:val="54D25D5A"/>
    <w:rsid w:val="571C7114"/>
    <w:rsid w:val="58713CE0"/>
    <w:rsid w:val="598361E9"/>
    <w:rsid w:val="5A1A2DB7"/>
    <w:rsid w:val="60356A59"/>
    <w:rsid w:val="62571BBC"/>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17</Pages>
  <Words>3435</Words>
  <Characters>4656</Characters>
  <Lines>21</Lines>
  <Paragraphs>6</Paragraphs>
  <TotalTime>41</TotalTime>
  <ScaleCrop>false</ScaleCrop>
  <LinksUpToDate>false</LinksUpToDate>
  <CharactersWithSpaces>5357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2023-08-09T06:29:34Z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90DE40A3B8BC436AAB71D34FFFABC684_13</vt:lpwstr>
  </property>
</Properties>
</file>