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《GKGYL04 03 2022 007 06 011》号业务高低压配电柜材料采购项目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《GKGYL04 03 2022 007 06 011》号业务高低压配电柜材料采购项目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9</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3年8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11</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8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14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bookmarkStart w:id="12" w:name="_GoBack"/>
      <w:bookmarkEnd w:id="1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70"/>
        <w:gridCol w:w="2860"/>
        <w:gridCol w:w="770"/>
        <w:gridCol w:w="459"/>
        <w:gridCol w:w="1172"/>
        <w:gridCol w:w="577"/>
        <w:gridCol w:w="1296"/>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序号</w:t>
            </w:r>
          </w:p>
        </w:tc>
        <w:tc>
          <w:tcPr>
            <w:tcW w:w="0" w:type="auto"/>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rPr>
              <w:t>材料名称</w:t>
            </w:r>
          </w:p>
        </w:tc>
        <w:tc>
          <w:tcPr>
            <w:tcW w:w="2860"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rPr>
              <w:t>规格</w:t>
            </w:r>
          </w:p>
        </w:tc>
        <w:tc>
          <w:tcPr>
            <w:tcW w:w="770"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品牌</w:t>
            </w:r>
          </w:p>
        </w:tc>
        <w:tc>
          <w:tcPr>
            <w:tcW w:w="0" w:type="auto"/>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单位</w:t>
            </w:r>
          </w:p>
        </w:tc>
        <w:tc>
          <w:tcPr>
            <w:tcW w:w="0" w:type="auto"/>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仅不含增值税单价</w:t>
            </w:r>
          </w:p>
        </w:tc>
        <w:tc>
          <w:tcPr>
            <w:tcW w:w="0" w:type="auto"/>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税率</w:t>
            </w:r>
          </w:p>
        </w:tc>
        <w:tc>
          <w:tcPr>
            <w:tcW w:w="0" w:type="auto"/>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含税单价</w:t>
            </w:r>
          </w:p>
        </w:tc>
        <w:tc>
          <w:tcPr>
            <w:tcW w:w="0" w:type="auto"/>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高压电力电缆</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ZR-YJV22-8.7/15kV-3*95mm²</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太平洋</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256.87 </w:t>
            </w:r>
          </w:p>
        </w:tc>
        <w:tc>
          <w:tcPr>
            <w:tcW w:w="0" w:type="auto"/>
            <w:vAlign w:val="center"/>
          </w:tcPr>
          <w:p>
            <w:pPr>
              <w:pStyle w:val="2"/>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290.27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电缆终端头</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户内终端，冷缩，YJV15kV-3*95mm²</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太平洋</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554.92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627.06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3</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干式变压器</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SCB13-1250/10  /10kV转0.4kV</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140109.62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158323.88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4</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干式变压器</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SCB13-1600/10   10kV转0.4kV</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179214.81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202512.74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5</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高压开关柜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高压进线柜KYN28-12型开关柜，工作电压为12kV，电流630A</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66536.36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75186.09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6</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高压开关柜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高压出线柜KYN28-12型开关柜，工作电压为12kV，电流630A</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39802.82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44977.19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7</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高压开关柜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高压PT柜12kV，电流630A</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38368.33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43356.21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8</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高压开关柜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高压隔离柜12kV，电流630A</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37966.20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42901.81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9</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高压成套配电柜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高压计量柜12kV，电流630A</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42727.36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48281.92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10</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低压成套配电柜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低压进线柜MNS型低压抽出式开关柜，380V，用于1250kVA干式变压器的进线柜，2500A</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43502.92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49158.3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11</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低压成套配电柜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低压进线柜MNS型低压抽出式开关柜，380V，用于1600kVA干式变压器的进线柜，电流3200A</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41684.92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47103.96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12</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低压成套配电柜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低压出线柜MNS型低压抽出式开关柜，380V</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33594.82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37962.15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13</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低压成套配电柜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低压联络柜    MNS型低压抽出式开关柜，电压为380V，用于1600kVA干式变压器的联络柜，电流2500A</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55118.12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62283.48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14</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低压成套配电柜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低压联络柜   低压开关柜采用MNS型低压抽出式开关柜，电压为380V，用于1250kVA干式变压器的进线柜，电流2000A</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54572.72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61667.18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15</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低压成套配电柜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低压补偿柜   低压开关柜采用MNS型低压抽出式开关柜，电压为380V，用于1600kVA干式变压器的补偿柜，补偿容量250kvar</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30068.81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33977.76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16</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低压成套配电柜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低压补偿柜    低压开关柜采用MNS型低压抽出式开关柜，电压为380V，用于1250kVA干式变压器的进线柜，补偿容量200kvar</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29159.81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32950.59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17</w:t>
            </w:r>
          </w:p>
        </w:tc>
        <w:tc>
          <w:tcPr>
            <w:tcW w:w="0" w:type="auto"/>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低压备用柜</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1.低压开关柜 MNS型  双电源切换柜</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2987.88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3376.31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18</w:t>
            </w:r>
          </w:p>
        </w:tc>
        <w:tc>
          <w:tcPr>
            <w:tcW w:w="0" w:type="auto"/>
            <w:vAlign w:val="center"/>
          </w:tcPr>
          <w:p>
            <w:pPr>
              <w:keepNext w:val="0"/>
              <w:keepLines w:val="0"/>
              <w:widowControl/>
              <w:suppressLineNumbers w:val="0"/>
              <w:jc w:val="center"/>
              <w:textAlignment w:val="center"/>
              <w:rPr>
                <w:rFonts w:hint="eastAsia"/>
                <w:vertAlign w:val="baseline"/>
              </w:rPr>
            </w:pPr>
            <w:r>
              <w:rPr>
                <w:rStyle w:val="17"/>
                <w:lang w:val="en-US" w:eastAsia="zh-CN" w:bidi="ar"/>
              </w:rPr>
              <w:t>直流馈电屏</w:t>
            </w:r>
          </w:p>
        </w:tc>
        <w:tc>
          <w:tcPr>
            <w:tcW w:w="28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1"/>
                <w:szCs w:val="21"/>
                <w:u w:val="none"/>
                <w:lang w:val="en-US" w:eastAsia="zh-CN" w:bidi="ar"/>
              </w:rPr>
              <w:t>1.名称:交直流一体箱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2.型号:30Ah/DC110V</w:t>
            </w:r>
          </w:p>
        </w:tc>
        <w:tc>
          <w:tcPr>
            <w:tcW w:w="7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德力西、正泰、上海三狮、天正、江苏人民智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 xml:space="preserve">24947.51 </w:t>
            </w:r>
          </w:p>
        </w:tc>
        <w:tc>
          <w:tcPr>
            <w:tcW w:w="0" w:type="auto"/>
            <w:vAlign w:val="center"/>
          </w:tcPr>
          <w:p>
            <w:p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4"/>
                <w:szCs w:val="24"/>
                <w:u w:val="none"/>
                <w:lang w:val="en-US" w:eastAsia="zh-CN" w:bidi="ar"/>
              </w:rPr>
              <w:t>28190.68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宋体" w:hAnsi="宋体" w:eastAsia="宋体" w:cs="宋体"/>
                <w:i w:val="0"/>
                <w:iCs w:val="0"/>
                <w:color w:val="000000"/>
                <w:kern w:val="0"/>
                <w:sz w:val="21"/>
                <w:szCs w:val="21"/>
                <w:u w:val="none"/>
                <w:lang w:val="en-US" w:eastAsia="zh-CN" w:bidi="ar"/>
              </w:rPr>
              <w:t>合格</w:t>
            </w:r>
          </w:p>
        </w:tc>
      </w:tr>
    </w:tbl>
    <w:p>
      <w:pPr>
        <w:pStyle w:val="5"/>
        <w:jc w:val="both"/>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9"/>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9"/>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递交报价文件在3家及以上时，按以下程序评审：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AE3F3F"/>
    <w:rsid w:val="15A55E2C"/>
    <w:rsid w:val="15CA5A57"/>
    <w:rsid w:val="164139E5"/>
    <w:rsid w:val="180034EF"/>
    <w:rsid w:val="1A221EEC"/>
    <w:rsid w:val="1B6F5E48"/>
    <w:rsid w:val="1BED2887"/>
    <w:rsid w:val="1CEB05EF"/>
    <w:rsid w:val="1F1F7E61"/>
    <w:rsid w:val="21784B2D"/>
    <w:rsid w:val="21902CCC"/>
    <w:rsid w:val="23305C26"/>
    <w:rsid w:val="25407E4A"/>
    <w:rsid w:val="261C7978"/>
    <w:rsid w:val="26BA7B04"/>
    <w:rsid w:val="279751BB"/>
    <w:rsid w:val="2B00193E"/>
    <w:rsid w:val="2B21130F"/>
    <w:rsid w:val="2D105994"/>
    <w:rsid w:val="2F6E275E"/>
    <w:rsid w:val="30EE0425"/>
    <w:rsid w:val="32FB4E24"/>
    <w:rsid w:val="346A08B7"/>
    <w:rsid w:val="37114C06"/>
    <w:rsid w:val="372C358B"/>
    <w:rsid w:val="38903BC1"/>
    <w:rsid w:val="3D240424"/>
    <w:rsid w:val="3E7F640C"/>
    <w:rsid w:val="41825C12"/>
    <w:rsid w:val="46024742"/>
    <w:rsid w:val="47CA7D9C"/>
    <w:rsid w:val="494F6C44"/>
    <w:rsid w:val="4A9E3029"/>
    <w:rsid w:val="4D6C7200"/>
    <w:rsid w:val="5216290A"/>
    <w:rsid w:val="52464A64"/>
    <w:rsid w:val="546F27C6"/>
    <w:rsid w:val="54D25D5A"/>
    <w:rsid w:val="571C7114"/>
    <w:rsid w:val="58713CE0"/>
    <w:rsid w:val="598361E9"/>
    <w:rsid w:val="5A1A2DB7"/>
    <w:rsid w:val="60356A59"/>
    <w:rsid w:val="62571BBC"/>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22</Pages>
  <Words>3618</Words>
  <Characters>4527</Characters>
  <Lines>21</Lines>
  <Paragraphs>6</Paragraphs>
  <TotalTime>2</TotalTime>
  <ScaleCrop>false</ScaleCrop>
  <LinksUpToDate>false</LinksUpToDate>
  <CharactersWithSpaces>5201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2023-08-08T02:43:41Z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35D88AD99FF14B20A515F83796A940AB_13</vt:lpwstr>
  </property>
</Properties>
</file>